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278F8" w:rsidRDefault="005278F8" w:rsidP="005278F8">
      <w:pPr>
        <w:spacing w:line="240" w:lineRule="auto"/>
        <w:jc w:val="center"/>
        <w:rPr>
          <w:b/>
          <w:bCs/>
          <w:color w:val="FF0000"/>
        </w:rPr>
      </w:pPr>
      <w:r w:rsidRPr="00DB39A9">
        <w:rPr>
          <w:b/>
          <w:bCs/>
          <w:color w:val="FF0000"/>
        </w:rPr>
        <w:t xml:space="preserve">ASYA-PASİFİK TOHUM PAZARI BÜYÜKLÜK VE PAY ANALİZİ </w:t>
      </w:r>
    </w:p>
    <w:p w:rsidR="005278F8" w:rsidRPr="00DB39A9" w:rsidRDefault="005278F8" w:rsidP="005278F8">
      <w:pPr>
        <w:spacing w:line="240" w:lineRule="auto"/>
        <w:jc w:val="center"/>
        <w:rPr>
          <w:b/>
          <w:bCs/>
          <w:color w:val="FF0000"/>
        </w:rPr>
      </w:pPr>
      <w:r w:rsidRPr="00DB39A9">
        <w:rPr>
          <w:b/>
          <w:bCs/>
          <w:color w:val="FF0000"/>
        </w:rPr>
        <w:t>2030'A KADAR BÜYÜME EĞİLİMLERİ VE TAHMİNLER</w:t>
      </w:r>
    </w:p>
    <w:p w:rsidR="005278F8" w:rsidRDefault="005278F8" w:rsidP="005278F8">
      <w:pPr>
        <w:spacing w:line="240" w:lineRule="auto"/>
        <w:jc w:val="both"/>
      </w:pPr>
      <w:r w:rsidRPr="00DB39A9">
        <w:t>Asya-Pasifik Tohum Pazarı, Yetiştirme Teknolojisine (Hibritler, Açık Tozlaşmalı Çeşitler ve Hibrit Türevleri), Yetiştirme Mekanizmasına (Açık Alan, Korunan Yetiştirme), Mahsul Türüne (Sıra Mahsulleri, Sebzeler) ve Ülkeye (Avustralya, Bangladeş, Çin, Hindistan, Endonezya, Japonya, Myanmar, Pakistan, Filipinler, Tayland, Vietnam) göre segmentlere ayrılmıştır. Pazar hacmi ve değeri sırasıyla metrik ton ve ABD doları olarak sunulmaktadır. Temel veri noktaları, yetiştirme teknolojisine, yetiştirme mekanizmasına ve ürüne göre tohum pazarının büyüklüğünü içerir.</w:t>
      </w:r>
    </w:p>
    <w:p w:rsidR="005278F8" w:rsidRPr="00DB39A9" w:rsidRDefault="005278F8" w:rsidP="005278F8">
      <w:pPr>
        <w:spacing w:line="240" w:lineRule="auto"/>
        <w:jc w:val="both"/>
        <w:rPr>
          <w:b/>
          <w:bCs/>
        </w:rPr>
      </w:pPr>
      <w:r w:rsidRPr="00DB39A9">
        <w:rPr>
          <w:b/>
          <w:bCs/>
        </w:rPr>
        <w:t xml:space="preserve">Asya-Pasifik Tohum Piyasası Analizi </w:t>
      </w:r>
    </w:p>
    <w:p w:rsidR="005278F8" w:rsidRPr="00DB39A9" w:rsidRDefault="005278F8" w:rsidP="005278F8">
      <w:pPr>
        <w:spacing w:line="240" w:lineRule="auto"/>
        <w:jc w:val="both"/>
      </w:pPr>
      <w:r w:rsidRPr="00DB39A9">
        <w:t>Asya-Pasifik Tohum Pazarı büyüklüğünün 2024 yılında 22,29 milyar ABD doları olacağı tahmin ediliyor ve tahmin döneminde (2024-2030) %3,86'lık bir bileşik yıllık büyüme oranıyla 2030 yılına kadar 27,97 milyar ABD dolarına ulaşması bekleniyor.</w:t>
      </w:r>
    </w:p>
    <w:p w:rsidR="005278F8" w:rsidRPr="00DB39A9" w:rsidRDefault="005278F8" w:rsidP="005278F8">
      <w:pPr>
        <w:spacing w:line="240" w:lineRule="auto"/>
        <w:jc w:val="both"/>
        <w:rPr>
          <w:b/>
          <w:bCs/>
        </w:rPr>
      </w:pPr>
      <w:r w:rsidRPr="00DB39A9">
        <w:rPr>
          <w:b/>
          <w:bCs/>
        </w:rPr>
        <w:t>22.29 Milyar</w:t>
      </w:r>
      <w:r>
        <w:rPr>
          <w:b/>
          <w:bCs/>
        </w:rPr>
        <w:t xml:space="preserve"> </w:t>
      </w:r>
      <w:r w:rsidRPr="00DB39A9">
        <w:rPr>
          <w:b/>
          <w:bCs/>
        </w:rPr>
        <w:t>2024'te Pazar Boyutu (USD)</w:t>
      </w:r>
    </w:p>
    <w:p w:rsidR="005278F8" w:rsidRPr="00DB39A9" w:rsidRDefault="005278F8" w:rsidP="005278F8">
      <w:pPr>
        <w:spacing w:line="240" w:lineRule="auto"/>
        <w:jc w:val="both"/>
        <w:rPr>
          <w:b/>
          <w:bCs/>
        </w:rPr>
      </w:pPr>
      <w:r w:rsidRPr="00DB39A9">
        <w:rPr>
          <w:b/>
          <w:bCs/>
        </w:rPr>
        <w:t>27,97 Milyar</w:t>
      </w:r>
      <w:r>
        <w:rPr>
          <w:b/>
          <w:bCs/>
        </w:rPr>
        <w:t xml:space="preserve"> </w:t>
      </w:r>
      <w:r w:rsidRPr="00DB39A9">
        <w:rPr>
          <w:b/>
          <w:bCs/>
        </w:rPr>
        <w:t>2030'da Pazar Boyutu (USD)</w:t>
      </w:r>
    </w:p>
    <w:p w:rsidR="005278F8" w:rsidRPr="00DB39A9" w:rsidRDefault="005278F8" w:rsidP="005278F8">
      <w:pPr>
        <w:spacing w:line="240" w:lineRule="auto"/>
        <w:jc w:val="both"/>
        <w:rPr>
          <w:b/>
          <w:bCs/>
        </w:rPr>
      </w:pPr>
      <w:r w:rsidRPr="00DB39A9">
        <w:rPr>
          <w:b/>
          <w:bCs/>
        </w:rPr>
        <w:t xml:space="preserve">Ürün Ailesine Göre En Büyük Pazar %62,82 değer payı, Tahıllar ve Hububat, 2023 </w:t>
      </w:r>
    </w:p>
    <w:p w:rsidR="005278F8" w:rsidRPr="00DB39A9" w:rsidRDefault="005278F8" w:rsidP="005278F8">
      <w:pPr>
        <w:spacing w:line="240" w:lineRule="auto"/>
        <w:jc w:val="both"/>
      </w:pPr>
      <w:r w:rsidRPr="00DB39A9">
        <w:t>Pirinç ve buğday bölgedeki çoğu ülkenin temel gıdasıdır ve yoğun olarak yetiştirilmektedir. Bölge ayrıca GDO'lu pirinç tohumlarını benimsemeye başlamıştır.</w:t>
      </w:r>
    </w:p>
    <w:p w:rsidR="005278F8" w:rsidRPr="00DB39A9" w:rsidRDefault="005278F8" w:rsidP="005278F8">
      <w:pPr>
        <w:spacing w:line="240" w:lineRule="auto"/>
        <w:jc w:val="both"/>
        <w:rPr>
          <w:b/>
          <w:bCs/>
        </w:rPr>
      </w:pPr>
      <w:r w:rsidRPr="00DB39A9">
        <w:rPr>
          <w:b/>
          <w:bCs/>
        </w:rPr>
        <w:t xml:space="preserve">Ülkeye Göre En Büyük Pazar 53,94 % değer payı, Çin, 2023 </w:t>
      </w:r>
    </w:p>
    <w:p w:rsidR="005278F8" w:rsidRPr="00DB39A9" w:rsidRDefault="005278F8" w:rsidP="005278F8">
      <w:pPr>
        <w:spacing w:line="240" w:lineRule="auto"/>
        <w:jc w:val="both"/>
      </w:pPr>
      <w:r w:rsidRPr="00DB39A9">
        <w:t>Çin, Asya-Pasifik'te transgenik ürün onaylarında lider konumda olup, ticari tohum kullanımının en yüksek olduğu ülke konumunda olup, bu da onu baskın oyuncu konumuna getiriyor.</w:t>
      </w:r>
    </w:p>
    <w:p w:rsidR="005278F8" w:rsidRPr="00DB39A9" w:rsidRDefault="005278F8" w:rsidP="005278F8">
      <w:pPr>
        <w:spacing w:line="240" w:lineRule="auto"/>
        <w:jc w:val="both"/>
        <w:rPr>
          <w:b/>
          <w:bCs/>
        </w:rPr>
      </w:pPr>
      <w:r w:rsidRPr="00DB39A9">
        <w:rPr>
          <w:b/>
          <w:bCs/>
        </w:rPr>
        <w:t xml:space="preserve">Ürün Ailesine Göre En Hızlı Büyüyen Pazar %5.28 Tahmini CAGR, Lif Mahsulleri, 2024-2030 </w:t>
      </w:r>
    </w:p>
    <w:p w:rsidR="005278F8" w:rsidRPr="00DB39A9" w:rsidRDefault="005278F8" w:rsidP="005278F8">
      <w:pPr>
        <w:spacing w:line="240" w:lineRule="auto"/>
        <w:jc w:val="both"/>
      </w:pPr>
      <w:r w:rsidRPr="00DB39A9">
        <w:t xml:space="preserve">Tekstil sektörünün büyümesi ve ihracat talebinin artması, </w:t>
      </w:r>
      <w:proofErr w:type="spellStart"/>
      <w:r w:rsidRPr="00DB39A9">
        <w:t>Bt</w:t>
      </w:r>
      <w:proofErr w:type="spellEnd"/>
      <w:r w:rsidRPr="00DB39A9">
        <w:t xml:space="preserve"> çeşitlerinin yaygın olarak yetiştirilmesiyle birlikte bölgenin en hızlı büyümesini sağladı.</w:t>
      </w:r>
    </w:p>
    <w:p w:rsidR="005278F8" w:rsidRPr="00DB39A9" w:rsidRDefault="005278F8" w:rsidP="005278F8">
      <w:pPr>
        <w:spacing w:line="240" w:lineRule="auto"/>
        <w:jc w:val="both"/>
        <w:rPr>
          <w:b/>
          <w:bCs/>
        </w:rPr>
      </w:pPr>
      <w:r w:rsidRPr="00DB39A9">
        <w:rPr>
          <w:b/>
          <w:bCs/>
        </w:rPr>
        <w:t xml:space="preserve">Ülkeye Göre En Hızlı Büyüyen Pazar %5,85 Tahmini CAGR, Avustralya, 2024-2030 </w:t>
      </w:r>
    </w:p>
    <w:p w:rsidR="005278F8" w:rsidRPr="00DB39A9" w:rsidRDefault="005278F8" w:rsidP="005278F8">
      <w:pPr>
        <w:spacing w:line="240" w:lineRule="auto"/>
        <w:jc w:val="both"/>
      </w:pPr>
      <w:r w:rsidRPr="00DB39A9">
        <w:t>Üreticiler yüksek bir yatırım getirisi için tahıl ekimini artırdığından en hızlı büyüyen ülkedir. Hükümetin yerel üretimi artırma ve ithalatı azaltma desteği bu büyümeyi besler.</w:t>
      </w:r>
    </w:p>
    <w:p w:rsidR="005278F8" w:rsidRPr="00DB39A9" w:rsidRDefault="005278F8" w:rsidP="005278F8">
      <w:pPr>
        <w:spacing w:line="240" w:lineRule="auto"/>
        <w:jc w:val="both"/>
        <w:rPr>
          <w:b/>
          <w:bCs/>
        </w:rPr>
      </w:pPr>
      <w:r w:rsidRPr="00DB39A9">
        <w:rPr>
          <w:b/>
          <w:bCs/>
        </w:rPr>
        <w:t xml:space="preserve">Lider Pazar Oyuncusu 8.82 % pazar payı, Bayer AG, 2022 </w:t>
      </w:r>
    </w:p>
    <w:p w:rsidR="005278F8" w:rsidRPr="00DB39A9" w:rsidRDefault="005278F8" w:rsidP="005278F8">
      <w:pPr>
        <w:spacing w:line="240" w:lineRule="auto"/>
        <w:jc w:val="both"/>
      </w:pPr>
      <w:r w:rsidRPr="00DB39A9">
        <w:t xml:space="preserve">Şirket kapsamlı ürün yenilikleri ve etkili ortaklıklar yaptı. Diğer pirinç tohumlarıyla birlikte </w:t>
      </w:r>
      <w:proofErr w:type="spellStart"/>
      <w:r w:rsidRPr="00DB39A9">
        <w:t>Dekalb</w:t>
      </w:r>
      <w:proofErr w:type="spellEnd"/>
      <w:r w:rsidRPr="00DB39A9">
        <w:t xml:space="preserve"> markası altında yeni herbisit toleranslı mısır tohumları tanıttı.</w:t>
      </w:r>
    </w:p>
    <w:p w:rsidR="005278F8" w:rsidRPr="00DB39A9" w:rsidRDefault="005278F8" w:rsidP="005278F8">
      <w:pPr>
        <w:spacing w:line="240" w:lineRule="auto"/>
        <w:jc w:val="both"/>
        <w:rPr>
          <w:b/>
          <w:bCs/>
        </w:rPr>
      </w:pPr>
      <w:r w:rsidRPr="00DB39A9">
        <w:rPr>
          <w:b/>
          <w:bCs/>
        </w:rPr>
        <w:t xml:space="preserve">Hibritler, daha yüksek verim üretme kabiliyetleri ve biyotik ve </w:t>
      </w:r>
      <w:proofErr w:type="spellStart"/>
      <w:r w:rsidRPr="00DB39A9">
        <w:rPr>
          <w:b/>
          <w:bCs/>
        </w:rPr>
        <w:t>abiyotik</w:t>
      </w:r>
      <w:proofErr w:type="spellEnd"/>
      <w:r w:rsidRPr="00DB39A9">
        <w:rPr>
          <w:b/>
          <w:bCs/>
        </w:rPr>
        <w:t xml:space="preserve"> streslere karşı dirençleri nedeniyle Asya-Pasifik tohum pazarına hakimdir </w:t>
      </w:r>
    </w:p>
    <w:p w:rsidR="005278F8" w:rsidRPr="00DB39A9" w:rsidRDefault="005278F8" w:rsidP="005278F8">
      <w:pPr>
        <w:numPr>
          <w:ilvl w:val="0"/>
          <w:numId w:val="1"/>
        </w:numPr>
        <w:spacing w:line="240" w:lineRule="auto"/>
        <w:jc w:val="both"/>
      </w:pPr>
      <w:r w:rsidRPr="00DB39A9">
        <w:t xml:space="preserve">Asya-Pasifik'te, hibrit tohumlar tohum pazarına </w:t>
      </w:r>
      <w:proofErr w:type="gramStart"/>
      <w:r w:rsidRPr="00DB39A9">
        <w:t>hakim</w:t>
      </w:r>
      <w:proofErr w:type="gramEnd"/>
      <w:r w:rsidRPr="00DB39A9">
        <w:t xml:space="preserve"> oldu ve 2022'de değer açısından %70,2'lik bir paya sahipti. Toplam hibrit tohum pazar değerinden, sıra mahsulleri %87,1'lik bir paya sahipken, sebzeler 2022'de %12,9'luk bir paya sahipti.</w:t>
      </w:r>
    </w:p>
    <w:p w:rsidR="005278F8" w:rsidRPr="00DB39A9" w:rsidRDefault="005278F8" w:rsidP="005278F8">
      <w:pPr>
        <w:numPr>
          <w:ilvl w:val="0"/>
          <w:numId w:val="1"/>
        </w:numPr>
        <w:spacing w:line="240" w:lineRule="auto"/>
        <w:jc w:val="both"/>
      </w:pPr>
      <w:r w:rsidRPr="00DB39A9">
        <w:t xml:space="preserve">Hibrit segment, daha yüksek verimlilik, daha geniş uyum yeteneği ve biyotik ve </w:t>
      </w:r>
      <w:proofErr w:type="spellStart"/>
      <w:r w:rsidRPr="00DB39A9">
        <w:t>abiyotik</w:t>
      </w:r>
      <w:proofErr w:type="spellEnd"/>
      <w:r w:rsidRPr="00DB39A9">
        <w:t xml:space="preserve"> streslere karşı yüksek derecede direnç nedeniyle büyük bir paya sahiptir. Pamukta, hibritler geleneksel çeşitlerden %50 daha fazla verim sağlar. Hibritlerin daha geniş uyum yeteneği, esas olarak çevresel dalgalanmalara karşı yüksek tamponlama kapasitelerinden kaynaklanmaktadır. Bu nedenle, hibrit tohumlara olan talebin tahmin döneminde artması bekleniyor.</w:t>
      </w:r>
    </w:p>
    <w:p w:rsidR="005278F8" w:rsidRPr="00DB39A9" w:rsidRDefault="005278F8" w:rsidP="005278F8">
      <w:pPr>
        <w:numPr>
          <w:ilvl w:val="0"/>
          <w:numId w:val="1"/>
        </w:numPr>
        <w:spacing w:line="240" w:lineRule="auto"/>
        <w:jc w:val="both"/>
      </w:pPr>
      <w:r w:rsidRPr="00DB39A9">
        <w:lastRenderedPageBreak/>
        <w:t>2022'de sıra mahsulü melezleri arasında transgenik melezler pazar payının %24,2'sini oluşturuyordu. Bu, daha iyi verim üretme yeteneklerine atfediliyor. Transgenik olmayan melezler pazar değerinin %75,8'ini oluşturuyordu.</w:t>
      </w:r>
    </w:p>
    <w:p w:rsidR="005278F8" w:rsidRPr="00DB39A9" w:rsidRDefault="005278F8" w:rsidP="005278F8">
      <w:pPr>
        <w:numPr>
          <w:ilvl w:val="0"/>
          <w:numId w:val="1"/>
        </w:numPr>
        <w:spacing w:line="240" w:lineRule="auto"/>
        <w:jc w:val="both"/>
      </w:pPr>
      <w:r w:rsidRPr="00DB39A9">
        <w:t>Melezler arasında böceklere dayanıklı transgenik melezler, 2022'de pazar payı değerinin %84,4'ünü oluşturarak transgenik tohum pazarına hakimdir. Bölgede yetiştirilmesi onaylanan böcek dirençli özelliklere sahip ürünler mısır, pamuk ve pirinçtir.</w:t>
      </w:r>
    </w:p>
    <w:p w:rsidR="005278F8" w:rsidRPr="00DB39A9" w:rsidRDefault="005278F8" w:rsidP="005278F8">
      <w:pPr>
        <w:numPr>
          <w:ilvl w:val="0"/>
          <w:numId w:val="1"/>
        </w:numPr>
        <w:spacing w:line="240" w:lineRule="auto"/>
        <w:jc w:val="both"/>
      </w:pPr>
      <w:r w:rsidRPr="00DB39A9">
        <w:t>Açık tozlaşmalı çeşitler ve melez türevler, 2022'de Asya-Pasifik'te değer açısından %29,8'lik bir pazar payına sahipti. Hindistan gibi ülkelerde, hükümet, uluslararası tohum şirketlerinin OPV kullanımını artırmaya yardımcı olmak için talep edebilecekleri fiyatları sınırlayarak yerel olarak yetiştirilen açık tozlaşmalı çeşitleri aktif olarak teşvik ediyor.</w:t>
      </w:r>
    </w:p>
    <w:p w:rsidR="005278F8" w:rsidRPr="00DB39A9" w:rsidRDefault="005278F8" w:rsidP="005278F8">
      <w:pPr>
        <w:numPr>
          <w:ilvl w:val="0"/>
          <w:numId w:val="1"/>
        </w:numPr>
        <w:spacing w:line="240" w:lineRule="auto"/>
        <w:jc w:val="both"/>
      </w:pPr>
      <w:r w:rsidRPr="00DB39A9">
        <w:t xml:space="preserve">Hibritlerin artan bulunabilirliği ve geliştirilmiş </w:t>
      </w:r>
      <w:proofErr w:type="spellStart"/>
      <w:r w:rsidRPr="00DB39A9">
        <w:t>OPV'ler</w:t>
      </w:r>
      <w:proofErr w:type="spellEnd"/>
      <w:r w:rsidRPr="00DB39A9">
        <w:t>, verim artışı ve uygun fiyata tohum bulunabilirliği gibi birçok avantaja yol açtı. Bu faktörlerin tahmin döneminde Asya-Pasifik tohum pazarının büyümesini yönlendireceği tahmin ediliyor.</w:t>
      </w:r>
    </w:p>
    <w:p w:rsidR="005278F8" w:rsidRPr="00DB39A9" w:rsidRDefault="005278F8" w:rsidP="005278F8">
      <w:pPr>
        <w:spacing w:line="240" w:lineRule="auto"/>
        <w:jc w:val="both"/>
        <w:rPr>
          <w:b/>
          <w:bCs/>
        </w:rPr>
      </w:pPr>
      <w:r w:rsidRPr="00DB39A9">
        <w:rPr>
          <w:b/>
          <w:bCs/>
        </w:rPr>
        <w:t xml:space="preserve">Bölgedeki tarımı desteklemek için çeşitli hükümet girişimleri ve planları ve hibritlere yönelik artan talep, pazarı yönlendiriyor </w:t>
      </w:r>
    </w:p>
    <w:p w:rsidR="005278F8" w:rsidRPr="00DB39A9" w:rsidRDefault="005278F8" w:rsidP="005278F8">
      <w:pPr>
        <w:numPr>
          <w:ilvl w:val="0"/>
          <w:numId w:val="2"/>
        </w:numPr>
        <w:spacing w:line="240" w:lineRule="auto"/>
        <w:jc w:val="both"/>
      </w:pPr>
      <w:r w:rsidRPr="00DB39A9">
        <w:t xml:space="preserve">Asya-Pasifik'te tohum pazarına 2022 yılında değer bazında Çin'in %54,4'lük payı </w:t>
      </w:r>
      <w:proofErr w:type="gramStart"/>
      <w:r w:rsidRPr="00DB39A9">
        <w:t>hakim</w:t>
      </w:r>
      <w:proofErr w:type="gramEnd"/>
      <w:r w:rsidRPr="00DB39A9">
        <w:t xml:space="preserve"> olurken, onu %15,7 ile Hindistan, %5,5 ile Japonya, %3,8 ile Pakistan ve %3,7 ile Endonezya takip ediyor.</w:t>
      </w:r>
    </w:p>
    <w:p w:rsidR="005278F8" w:rsidRPr="00DB39A9" w:rsidRDefault="005278F8" w:rsidP="005278F8">
      <w:pPr>
        <w:numPr>
          <w:ilvl w:val="0"/>
          <w:numId w:val="2"/>
        </w:numPr>
        <w:spacing w:line="240" w:lineRule="auto"/>
        <w:jc w:val="both"/>
      </w:pPr>
      <w:r w:rsidRPr="00DB39A9">
        <w:t>Çin, çokuluslu tohum şirketlerini ülkeye yeni geliştirme konseptleri ve teknolojiler getirdikleri, yeni teknolojiler ve yayılma yöntemleri yaydıkları ve endüstriyel rasyonalizasyonu teşvik ettikleri için iç pazara girmeye teşvik ediyor. Bu faktörlerin tahmin döneminde Çin tohum pazarını %2,9'luk bir bileşik yıllık büyüme oranıyla yönlendirmesi bekleniyor.</w:t>
      </w:r>
    </w:p>
    <w:p w:rsidR="005278F8" w:rsidRPr="00DB39A9" w:rsidRDefault="005278F8" w:rsidP="005278F8">
      <w:pPr>
        <w:numPr>
          <w:ilvl w:val="0"/>
          <w:numId w:val="2"/>
        </w:numPr>
        <w:spacing w:line="240" w:lineRule="auto"/>
        <w:jc w:val="both"/>
      </w:pPr>
      <w:r w:rsidRPr="00DB39A9">
        <w:t>Hindistan'da, tohum endüstrisinin gelişimini desteklemek için Hindistan Hükümeti, Tohum Köyü Programı, Yağ Tohumları Entegre Programı, Hindistan'ın Kuzey Doğu Eyaletlerine tohum taşınması için nakliye desteği ve üretim, dağıtım ve nakliye maliyetlerini destekleyen hibrit pirinç tohumu üretimi gibi birçok plan başlattı. Bu faktörlerin, tahmin döneminde Hindistan tohum pazarını %5,5'lik bir bileşik yıllık büyüme oranıyla yönlendirmesi bekleniyor.</w:t>
      </w:r>
    </w:p>
    <w:p w:rsidR="005278F8" w:rsidRPr="00DB39A9" w:rsidRDefault="005278F8" w:rsidP="005278F8">
      <w:pPr>
        <w:numPr>
          <w:ilvl w:val="0"/>
          <w:numId w:val="2"/>
        </w:numPr>
        <w:spacing w:line="240" w:lineRule="auto"/>
        <w:jc w:val="both"/>
      </w:pPr>
      <w:r w:rsidRPr="00DB39A9">
        <w:t xml:space="preserve">Japonya'da kentsel tarım, tarımda yeni bir trend olarak gelişiyor. Taze sebzelere olan talep, ülke genelindeki sağlık bilincine sahip tüketiciler tarafından teşvik ediliyor. Tarım arazileri kısıtlamalarla karşı karşıya kalırken, iç </w:t>
      </w:r>
      <w:proofErr w:type="gramStart"/>
      <w:r w:rsidRPr="00DB39A9">
        <w:t>mekan</w:t>
      </w:r>
      <w:proofErr w:type="gramEnd"/>
      <w:r w:rsidRPr="00DB39A9">
        <w:t xml:space="preserve"> çiftçiliği ve dikey çiftçilik uygulamaları gibi kentsel tarım, yerel olarak yetiştirilen sebzelerin kıtlığını gidermek için faaliyetlerini artırıyor.</w:t>
      </w:r>
    </w:p>
    <w:p w:rsidR="005278F8" w:rsidRPr="00DB39A9" w:rsidRDefault="005278F8" w:rsidP="005278F8">
      <w:pPr>
        <w:numPr>
          <w:ilvl w:val="0"/>
          <w:numId w:val="2"/>
        </w:numPr>
        <w:spacing w:line="240" w:lineRule="auto"/>
        <w:jc w:val="both"/>
      </w:pPr>
      <w:r w:rsidRPr="00DB39A9">
        <w:t>Avustralya pazarının bölgedeki en hızlı büyüyen tohum pazarı olması bekleniyor ve tahmin döneminde %6,0'lık bir CAGR kaydediliyor. Bu, esas olarak ülkedeki büyüyen ekim alanına ve artan talebe atfediliyor.</w:t>
      </w:r>
    </w:p>
    <w:p w:rsidR="005278F8" w:rsidRPr="00DB39A9" w:rsidRDefault="005278F8" w:rsidP="005278F8">
      <w:pPr>
        <w:numPr>
          <w:ilvl w:val="0"/>
          <w:numId w:val="2"/>
        </w:numPr>
        <w:spacing w:line="240" w:lineRule="auto"/>
        <w:jc w:val="both"/>
      </w:pPr>
      <w:r w:rsidRPr="00DB39A9">
        <w:t>Bölgedeki tarımı destekleyen çeşitli hükümet girişimlerinin, tahmin döneminde piyasayı yönlendirmesi bekleniyor.</w:t>
      </w:r>
    </w:p>
    <w:p w:rsidR="005278F8" w:rsidRPr="00DB39A9" w:rsidRDefault="005278F8" w:rsidP="005278F8">
      <w:pPr>
        <w:spacing w:line="240" w:lineRule="auto"/>
        <w:jc w:val="both"/>
        <w:rPr>
          <w:b/>
          <w:bCs/>
        </w:rPr>
      </w:pPr>
      <w:r w:rsidRPr="00DB39A9">
        <w:rPr>
          <w:b/>
          <w:bCs/>
        </w:rPr>
        <w:t xml:space="preserve">Asya-Pasifik Tohum Piyasası Trendleri </w:t>
      </w:r>
    </w:p>
    <w:p w:rsidR="005278F8" w:rsidRPr="00DB39A9" w:rsidRDefault="005278F8" w:rsidP="005278F8">
      <w:pPr>
        <w:spacing w:line="240" w:lineRule="auto"/>
        <w:jc w:val="both"/>
        <w:rPr>
          <w:b/>
          <w:bCs/>
        </w:rPr>
      </w:pPr>
      <w:r w:rsidRPr="00DB39A9">
        <w:rPr>
          <w:b/>
          <w:bCs/>
        </w:rPr>
        <w:t>Bölgede sıra mahsullerine olan artan talep, sıra mahsullerinin yüksek ihracat potansiyeliyle birleşince sıra mahsulü alanını artırıyor</w:t>
      </w:r>
    </w:p>
    <w:p w:rsidR="005278F8" w:rsidRPr="00DB39A9" w:rsidRDefault="005278F8" w:rsidP="005278F8">
      <w:pPr>
        <w:numPr>
          <w:ilvl w:val="0"/>
          <w:numId w:val="3"/>
        </w:numPr>
        <w:spacing w:line="240" w:lineRule="auto"/>
        <w:jc w:val="both"/>
      </w:pPr>
      <w:r w:rsidRPr="00DB39A9">
        <w:t xml:space="preserve">Asya-Pasifik bölgesinde, sıralı ürünler 2022'de toplam ekili alana </w:t>
      </w:r>
      <w:proofErr w:type="gramStart"/>
      <w:r w:rsidRPr="00DB39A9">
        <w:t>hakim</w:t>
      </w:r>
      <w:proofErr w:type="gramEnd"/>
      <w:r w:rsidRPr="00DB39A9">
        <w:t xml:space="preserve"> oldu ve bu da 2022'de toplam ekili alanın %95,0'ından fazlasını oluşturdu. Bölgede ekilen birincil sıralı ürünler arasında pirinç, buğday, mısır, ayçiçeği, soya fasulyesi ve diğer tahıllar ve tahıllar yer almaktadır. 2022'de tahıllar ve tahıllar sıralı ürün alanına yaklaşık %68,0'lık önemli bir payla </w:t>
      </w:r>
      <w:proofErr w:type="gramStart"/>
      <w:r w:rsidRPr="00DB39A9">
        <w:t>hakim</w:t>
      </w:r>
      <w:proofErr w:type="gramEnd"/>
      <w:r w:rsidRPr="00DB39A9">
        <w:t xml:space="preserve"> oldu. Tahılların ve tahılların bu hakimiyeti, önemli bölgesel üretim çıktılarından kaynaklanmaktadır.</w:t>
      </w:r>
    </w:p>
    <w:p w:rsidR="005278F8" w:rsidRPr="00DB39A9" w:rsidRDefault="005278F8" w:rsidP="005278F8">
      <w:pPr>
        <w:numPr>
          <w:ilvl w:val="0"/>
          <w:numId w:val="3"/>
        </w:numPr>
        <w:spacing w:line="240" w:lineRule="auto"/>
        <w:jc w:val="both"/>
      </w:pPr>
      <w:r w:rsidRPr="00DB39A9">
        <w:lastRenderedPageBreak/>
        <w:t>Tahıl tahıllarının bulunduğu alan 2022'de 67,4 milyon hektardı ve pirinç Asya'daki ekim alanında en büyük paya sahipti. Bunun nedeni, yaz ve muson mevsimlerindeki yüksek sıcaklıklar ve bol yağışın Asya'da pirinç yetiştirmek için ideal koşullar sağlamasıdır. Darılar çoğunlukla Hindistan, Çin ve Pakistan bölgelerinde yetiştirilir. Hindistan dünyanın önde gelen darı üreticisidir.</w:t>
      </w:r>
    </w:p>
    <w:p w:rsidR="005278F8" w:rsidRPr="00DB39A9" w:rsidRDefault="005278F8" w:rsidP="005278F8">
      <w:pPr>
        <w:numPr>
          <w:ilvl w:val="0"/>
          <w:numId w:val="3"/>
        </w:numPr>
        <w:spacing w:line="240" w:lineRule="auto"/>
        <w:jc w:val="both"/>
      </w:pPr>
      <w:r w:rsidRPr="00DB39A9">
        <w:t>• Genel sıra mahsulü ekim alanı 2017 ile 2022 arasında yaklaşık %8,9 arttı. Bunun nedeni, bölgedeki sıra mahsullerine olan talebin artmasıdır ve pirinç ve buğday gibi mahsuller bölgedeki çoğu ülkede temel gıda mahsulleridir. Dahası, Çin ve Hindistan gibi ülkelerde hükümetler, Hindistan'daki Ulusal Gıda Güvenliği Misyonu (NFSM) gibi çeşitli planlar aracılığıyla tarımı teşvik etmektedir.</w:t>
      </w:r>
    </w:p>
    <w:p w:rsidR="005278F8" w:rsidRPr="00DB39A9" w:rsidRDefault="005278F8" w:rsidP="005278F8">
      <w:pPr>
        <w:numPr>
          <w:ilvl w:val="0"/>
          <w:numId w:val="3"/>
        </w:numPr>
        <w:spacing w:line="240" w:lineRule="auto"/>
        <w:jc w:val="both"/>
      </w:pPr>
      <w:r w:rsidRPr="00DB39A9">
        <w:t>Çin ve Hindistan bölgedeki en büyük sıra mahsulü ihracatçısı ülkelerdir. Hindistan 2022'de aynı yıl yaklaşık 22,2 milyon ton pirinç ihraç etti. Bölgedeki genel pirinç ekili alanın yaklaşık %6,7 oranında artarak tahmin döneminin sonunda 154,2 milyon hektara ulaşması bekleniyor. Bunun nedeni artan talep ve pirincin yüksek ihracat potansiyelidir. Sıra mahsullerine olan artan talebin tahmin döneminde ekim alanını artırması bekleniyor.</w:t>
      </w:r>
    </w:p>
    <w:p w:rsidR="005278F8" w:rsidRPr="00DB39A9" w:rsidRDefault="005278F8" w:rsidP="005278F8">
      <w:pPr>
        <w:spacing w:line="240" w:lineRule="auto"/>
        <w:jc w:val="both"/>
        <w:rPr>
          <w:b/>
          <w:bCs/>
        </w:rPr>
      </w:pPr>
      <w:r w:rsidRPr="00DB39A9">
        <w:rPr>
          <w:b/>
          <w:bCs/>
        </w:rPr>
        <w:t>Hayvancılıkta yem talebinin artması, hastalıklara dayanıklı, daha geniş adaptasyon kabiliyetine sahip ve erken olgunluk özelliklerine sahip hibrit yem tohumlarının kullanımını teşvik ediyor</w:t>
      </w:r>
    </w:p>
    <w:p w:rsidR="005278F8" w:rsidRPr="00DB39A9" w:rsidRDefault="005278F8" w:rsidP="005278F8">
      <w:pPr>
        <w:numPr>
          <w:ilvl w:val="0"/>
          <w:numId w:val="4"/>
        </w:numPr>
        <w:spacing w:line="240" w:lineRule="auto"/>
        <w:jc w:val="both"/>
      </w:pPr>
      <w:r w:rsidRPr="00DB39A9">
        <w:t>Yonca ve yem mısırı, daha fazla sindirilebilirlik ve yüksek protein gibi hayvancılık için faydaları nedeniyle başlıca yem bitkileridir. Ayrıca çiftçilerin kaliteyi feda etmeden daha fazla verim elde etmelerini sağlar. Yonca için daha geniş adaptasyon, hava değişiklikleri, erken olgunlaşma için yüksek talep ve farklı girdilerin kullanımını en aza indirmek için tek bir üründe düşük lignin içeriği olduğu için en çok benimsenen özellikti.</w:t>
      </w:r>
    </w:p>
    <w:p w:rsidR="005278F8" w:rsidRPr="00DB39A9" w:rsidRDefault="005278F8" w:rsidP="005278F8">
      <w:pPr>
        <w:numPr>
          <w:ilvl w:val="0"/>
          <w:numId w:val="4"/>
        </w:numPr>
        <w:spacing w:line="240" w:lineRule="auto"/>
        <w:jc w:val="both"/>
      </w:pPr>
      <w:r w:rsidRPr="00DB39A9">
        <w:t xml:space="preserve">Yoncanın en yaygın ve zararlı mantar hastalıkları </w:t>
      </w:r>
      <w:proofErr w:type="spellStart"/>
      <w:r w:rsidRPr="00DB39A9">
        <w:t>fusarium</w:t>
      </w:r>
      <w:proofErr w:type="spellEnd"/>
      <w:r w:rsidRPr="00DB39A9">
        <w:t xml:space="preserve"> ve kahverengi lekedir. Bunlar bitkilerin verimliliğini %30 veya daha fazla azaltabilir. Bu nedenle, yonca yetiştiricilerinin daha yüksek verimlilik elde etmesi için hastalığa dayanıklı özelliklere sahip yonca çeşitlerine olan talep artmaktadır. Ayrıca, düşük lignin özelliklerine sahip yonca Japonya'da yetiştirilmektedir çünkü düşük lignin özellikli yonca oldukça sindirilebilirdir ve verimde %15-20 artış sağlar. Bu nedenle, tahmin döneminde bölgede düşük lignin özelliklerine sahip yoncaya olan talebin artması beklenmektedir.</w:t>
      </w:r>
    </w:p>
    <w:p w:rsidR="005278F8" w:rsidRPr="00DB39A9" w:rsidRDefault="005278F8" w:rsidP="005278F8">
      <w:pPr>
        <w:numPr>
          <w:ilvl w:val="0"/>
          <w:numId w:val="4"/>
        </w:numPr>
        <w:spacing w:line="240" w:lineRule="auto"/>
        <w:jc w:val="both"/>
      </w:pPr>
      <w:r w:rsidRPr="00DB39A9">
        <w:t xml:space="preserve">Yüksek verim potansiyeli, kuraklığa dayanıklılık, hastalık toleransı, erken olgunlaşma ve yatma toleransı özelliklerine sahip yemlik mısır yüksek talep görmektedir. Bu özellikler arasında, hayvancılık sektöründe yüksek talep görmesi nedeniyle erken olgunlaşma özelliği en büyük paya sahiptir. Bu talebi karşılamak için, yetiştiriciler ürünü sezon dışında yetiştirir ve normal ekime kadar geçen ekim süresini normal ekimden 1-2 hafta kısaltır. Örneğin, Land O' </w:t>
      </w:r>
      <w:proofErr w:type="spellStart"/>
      <w:r w:rsidRPr="00DB39A9">
        <w:t>Lakes</w:t>
      </w:r>
      <w:proofErr w:type="spellEnd"/>
      <w:r w:rsidRPr="00DB39A9">
        <w:t xml:space="preserve"> kuraklığa dayanıklılık ve erken olgunlaşma özelliklerine sahip yaklaşık 44 ürün sağlar.</w:t>
      </w:r>
    </w:p>
    <w:p w:rsidR="005278F8" w:rsidRPr="00DB39A9" w:rsidRDefault="005278F8" w:rsidP="005278F8">
      <w:pPr>
        <w:numPr>
          <w:ilvl w:val="0"/>
          <w:numId w:val="4"/>
        </w:numPr>
        <w:spacing w:line="240" w:lineRule="auto"/>
        <w:jc w:val="both"/>
      </w:pPr>
      <w:r w:rsidRPr="00DB39A9">
        <w:t>Hastalıklardan kaynaklanan kayıpların giderek artmasının önüne geçmek ve verimi daha kısa sürede artırmak amacıyla; hastalıklara dayanıklılık, erken olgunlaşma, kuraklığa dayanıklılık gibi özelliklere sahip tohumlar pazarın büyümesini hızlandırıyor.</w:t>
      </w:r>
    </w:p>
    <w:p w:rsidR="005278F8" w:rsidRPr="00DB39A9" w:rsidRDefault="005278F8" w:rsidP="005278F8">
      <w:pPr>
        <w:spacing w:line="240" w:lineRule="auto"/>
        <w:jc w:val="both"/>
        <w:rPr>
          <w:b/>
          <w:bCs/>
        </w:rPr>
      </w:pPr>
      <w:r w:rsidRPr="00DB39A9">
        <w:rPr>
          <w:b/>
          <w:bCs/>
        </w:rPr>
        <w:t>RAPORDA YER ALAN DİĞER ANA SEKTÖR TRENDLERİ</w:t>
      </w:r>
    </w:p>
    <w:p w:rsidR="005278F8" w:rsidRPr="00DB39A9" w:rsidRDefault="005278F8" w:rsidP="005278F8">
      <w:pPr>
        <w:numPr>
          <w:ilvl w:val="0"/>
          <w:numId w:val="5"/>
        </w:numPr>
        <w:spacing w:line="240" w:lineRule="auto"/>
        <w:jc w:val="both"/>
      </w:pPr>
      <w:r w:rsidRPr="00DB39A9">
        <w:t>Salataya olan yüksek tüketim talebi ve Hindistan ve Çin gibi önde gelen sebze üretici ülkeler, ekim alanındaki artışı yönlendiriyor</w:t>
      </w:r>
    </w:p>
    <w:p w:rsidR="005278F8" w:rsidRPr="00DB39A9" w:rsidRDefault="005278F8" w:rsidP="005278F8">
      <w:pPr>
        <w:numPr>
          <w:ilvl w:val="0"/>
          <w:numId w:val="5"/>
        </w:numPr>
        <w:spacing w:line="240" w:lineRule="auto"/>
        <w:jc w:val="both"/>
      </w:pPr>
      <w:r w:rsidRPr="00DB39A9">
        <w:t>Kuraklığa dayanıklılık ve hastalık direnci, bölgedeki pazar büyümesinin artmasına yardımcı olan başlıca özelliklerdir</w:t>
      </w:r>
    </w:p>
    <w:p w:rsidR="005278F8" w:rsidRPr="00DB39A9" w:rsidRDefault="005278F8" w:rsidP="005278F8">
      <w:pPr>
        <w:numPr>
          <w:ilvl w:val="0"/>
          <w:numId w:val="5"/>
        </w:numPr>
        <w:spacing w:line="240" w:lineRule="auto"/>
        <w:jc w:val="both"/>
      </w:pPr>
      <w:r w:rsidRPr="00DB39A9">
        <w:t>Yüksek verimli buğday çeşitlerine olan talep ve pamuğun pamuk kurtlarına ve kuraklığa karşı duyarlılığı, yüksek verimli tarımsal özelliklere sahip tohumlara olan talebi artırıyor</w:t>
      </w:r>
    </w:p>
    <w:p w:rsidR="005278F8" w:rsidRPr="00DB39A9" w:rsidRDefault="005278F8" w:rsidP="005278F8">
      <w:pPr>
        <w:numPr>
          <w:ilvl w:val="0"/>
          <w:numId w:val="6"/>
        </w:numPr>
        <w:spacing w:line="240" w:lineRule="auto"/>
        <w:jc w:val="both"/>
      </w:pPr>
      <w:r w:rsidRPr="00DB39A9">
        <w:lastRenderedPageBreak/>
        <w:t>Daha geniş adaptasyon kabiliyetine sahip ve korumalı yetiştirmeye uygun lahana ve marul tohumları, yeni yetiştirme uygulamalarını benimseyen çiftçiler arasında popülerlik kazanıyor</w:t>
      </w:r>
    </w:p>
    <w:p w:rsidR="005278F8" w:rsidRPr="00DB39A9" w:rsidRDefault="005278F8" w:rsidP="005278F8">
      <w:pPr>
        <w:numPr>
          <w:ilvl w:val="0"/>
          <w:numId w:val="6"/>
        </w:numPr>
        <w:spacing w:line="240" w:lineRule="auto"/>
        <w:jc w:val="both"/>
      </w:pPr>
      <w:r w:rsidRPr="00DB39A9">
        <w:t xml:space="preserve">Bölgede domates ve biberin çabuk </w:t>
      </w:r>
      <w:proofErr w:type="spellStart"/>
      <w:r w:rsidRPr="00DB39A9">
        <w:t>bozulabilirliği</w:t>
      </w:r>
      <w:proofErr w:type="spellEnd"/>
      <w:r w:rsidRPr="00DB39A9">
        <w:t xml:space="preserve"> ve mantar ve virüs istilasına karşı duyarlılığı, hastalığa dayanıklı yeni çeşitlerin kullanımını teşvik ediyor</w:t>
      </w:r>
    </w:p>
    <w:p w:rsidR="005278F8" w:rsidRPr="00DB39A9" w:rsidRDefault="005278F8" w:rsidP="005278F8">
      <w:pPr>
        <w:numPr>
          <w:ilvl w:val="0"/>
          <w:numId w:val="6"/>
        </w:numPr>
        <w:spacing w:line="240" w:lineRule="auto"/>
        <w:jc w:val="both"/>
      </w:pPr>
      <w:r w:rsidRPr="00DB39A9">
        <w:t xml:space="preserve">Hibrit yetiştirme pazara </w:t>
      </w:r>
      <w:proofErr w:type="gramStart"/>
      <w:r w:rsidRPr="00DB39A9">
        <w:t>hakim</w:t>
      </w:r>
      <w:proofErr w:type="gramEnd"/>
      <w:r w:rsidRPr="00DB39A9">
        <w:t xml:space="preserve"> oldu ve büyük şirketler zararlılara ve hastalıklara karşı dirençli yüksek verimli çeşitler geliştirmeye başladı</w:t>
      </w:r>
    </w:p>
    <w:p w:rsidR="00AC1B13" w:rsidRDefault="00AC1B13"/>
    <w:p w:rsidR="005278F8" w:rsidRPr="005278F8" w:rsidRDefault="005278F8" w:rsidP="005278F8">
      <w:hyperlink r:id="rId5" w:history="1">
        <w:r w:rsidRPr="005278F8">
          <w:rPr>
            <w:rStyle w:val="Kpr"/>
          </w:rPr>
          <w:t>https://www.mordorintelligence.com/industry-reports/seeds-industry</w:t>
        </w:r>
      </w:hyperlink>
    </w:p>
    <w:p w:rsidR="005278F8" w:rsidRDefault="005278F8"/>
    <w:sectPr w:rsidR="005278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1938"/>
    <w:multiLevelType w:val="multilevel"/>
    <w:tmpl w:val="60FC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14DAB"/>
    <w:multiLevelType w:val="multilevel"/>
    <w:tmpl w:val="BD00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A109B"/>
    <w:multiLevelType w:val="multilevel"/>
    <w:tmpl w:val="6054F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834CB4"/>
    <w:multiLevelType w:val="multilevel"/>
    <w:tmpl w:val="959A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C12713"/>
    <w:multiLevelType w:val="multilevel"/>
    <w:tmpl w:val="5C76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EE42AF"/>
    <w:multiLevelType w:val="multilevel"/>
    <w:tmpl w:val="D0EC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9706790">
    <w:abstractNumId w:val="1"/>
  </w:num>
  <w:num w:numId="2" w16cid:durableId="1706252422">
    <w:abstractNumId w:val="3"/>
  </w:num>
  <w:num w:numId="3" w16cid:durableId="987244398">
    <w:abstractNumId w:val="4"/>
  </w:num>
  <w:num w:numId="4" w16cid:durableId="372458673">
    <w:abstractNumId w:val="5"/>
  </w:num>
  <w:num w:numId="5" w16cid:durableId="524708107">
    <w:abstractNumId w:val="0"/>
  </w:num>
  <w:num w:numId="6" w16cid:durableId="840513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F8"/>
    <w:rsid w:val="00037B90"/>
    <w:rsid w:val="001E2EAA"/>
    <w:rsid w:val="005278F8"/>
    <w:rsid w:val="00AC1B13"/>
    <w:rsid w:val="00BB2C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2DCB3"/>
  <w15:chartTrackingRefBased/>
  <w15:docId w15:val="{A989B1E4-860C-4BEC-B58D-907F30D24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8F8"/>
  </w:style>
  <w:style w:type="paragraph" w:styleId="Balk1">
    <w:name w:val="heading 1"/>
    <w:basedOn w:val="Normal"/>
    <w:next w:val="Normal"/>
    <w:link w:val="Balk1Char"/>
    <w:uiPriority w:val="9"/>
    <w:qFormat/>
    <w:rsid w:val="005278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5278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5278F8"/>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5278F8"/>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5278F8"/>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5278F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278F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278F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278F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278F8"/>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5278F8"/>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5278F8"/>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5278F8"/>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5278F8"/>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5278F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278F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278F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278F8"/>
    <w:rPr>
      <w:rFonts w:eastAsiaTheme="majorEastAsia" w:cstheme="majorBidi"/>
      <w:color w:val="272727" w:themeColor="text1" w:themeTint="D8"/>
    </w:rPr>
  </w:style>
  <w:style w:type="paragraph" w:styleId="KonuBal">
    <w:name w:val="Title"/>
    <w:basedOn w:val="Normal"/>
    <w:next w:val="Normal"/>
    <w:link w:val="KonuBalChar"/>
    <w:uiPriority w:val="10"/>
    <w:qFormat/>
    <w:rsid w:val="005278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278F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278F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278F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278F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278F8"/>
    <w:rPr>
      <w:i/>
      <w:iCs/>
      <w:color w:val="404040" w:themeColor="text1" w:themeTint="BF"/>
    </w:rPr>
  </w:style>
  <w:style w:type="paragraph" w:styleId="ListeParagraf">
    <w:name w:val="List Paragraph"/>
    <w:basedOn w:val="Normal"/>
    <w:uiPriority w:val="34"/>
    <w:qFormat/>
    <w:rsid w:val="005278F8"/>
    <w:pPr>
      <w:ind w:left="720"/>
      <w:contextualSpacing/>
    </w:pPr>
  </w:style>
  <w:style w:type="character" w:styleId="GlVurgulama">
    <w:name w:val="Intense Emphasis"/>
    <w:basedOn w:val="VarsaylanParagrafYazTipi"/>
    <w:uiPriority w:val="21"/>
    <w:qFormat/>
    <w:rsid w:val="005278F8"/>
    <w:rPr>
      <w:i/>
      <w:iCs/>
      <w:color w:val="2F5496" w:themeColor="accent1" w:themeShade="BF"/>
    </w:rPr>
  </w:style>
  <w:style w:type="paragraph" w:styleId="GlAlnt">
    <w:name w:val="Intense Quote"/>
    <w:basedOn w:val="Normal"/>
    <w:next w:val="Normal"/>
    <w:link w:val="GlAlntChar"/>
    <w:uiPriority w:val="30"/>
    <w:qFormat/>
    <w:rsid w:val="005278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5278F8"/>
    <w:rPr>
      <w:i/>
      <w:iCs/>
      <w:color w:val="2F5496" w:themeColor="accent1" w:themeShade="BF"/>
    </w:rPr>
  </w:style>
  <w:style w:type="character" w:styleId="GlBavuru">
    <w:name w:val="Intense Reference"/>
    <w:basedOn w:val="VarsaylanParagrafYazTipi"/>
    <w:uiPriority w:val="32"/>
    <w:qFormat/>
    <w:rsid w:val="005278F8"/>
    <w:rPr>
      <w:b/>
      <w:bCs/>
      <w:smallCaps/>
      <w:color w:val="2F5496" w:themeColor="accent1" w:themeShade="BF"/>
      <w:spacing w:val="5"/>
    </w:rPr>
  </w:style>
  <w:style w:type="character" w:styleId="Kpr">
    <w:name w:val="Hyperlink"/>
    <w:basedOn w:val="VarsaylanParagrafYazTipi"/>
    <w:uiPriority w:val="99"/>
    <w:unhideWhenUsed/>
    <w:rsid w:val="005278F8"/>
    <w:rPr>
      <w:color w:val="0563C1" w:themeColor="hyperlink"/>
      <w:u w:val="single"/>
    </w:rPr>
  </w:style>
  <w:style w:type="character" w:styleId="zmlenmeyenBahsetme">
    <w:name w:val="Unresolved Mention"/>
    <w:basedOn w:val="VarsaylanParagrafYazTipi"/>
    <w:uiPriority w:val="99"/>
    <w:semiHidden/>
    <w:unhideWhenUsed/>
    <w:rsid w:val="00527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926852">
      <w:bodyDiv w:val="1"/>
      <w:marLeft w:val="0"/>
      <w:marRight w:val="0"/>
      <w:marTop w:val="0"/>
      <w:marBottom w:val="0"/>
      <w:divBdr>
        <w:top w:val="none" w:sz="0" w:space="0" w:color="auto"/>
        <w:left w:val="none" w:sz="0" w:space="0" w:color="auto"/>
        <w:bottom w:val="none" w:sz="0" w:space="0" w:color="auto"/>
        <w:right w:val="none" w:sz="0" w:space="0" w:color="auto"/>
      </w:divBdr>
    </w:div>
    <w:div w:id="123091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ordorintelligence.com/industry-reports/seeds-indust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1634</Words>
  <Characters>9314</Characters>
  <Application>Microsoft Office Word</Application>
  <DocSecurity>0</DocSecurity>
  <Lines>77</Lines>
  <Paragraphs>21</Paragraphs>
  <ScaleCrop>false</ScaleCrop>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GÜMÜŞ - TSÜAB</dc:creator>
  <cp:keywords/>
  <dc:description/>
  <cp:lastModifiedBy>ALİ GÜMÜŞ - TSÜAB</cp:lastModifiedBy>
  <cp:revision>1</cp:revision>
  <dcterms:created xsi:type="dcterms:W3CDTF">2025-02-21T06:38:00Z</dcterms:created>
  <dcterms:modified xsi:type="dcterms:W3CDTF">2025-02-21T06:40:00Z</dcterms:modified>
</cp:coreProperties>
</file>