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2254" w:rsidRPr="00CA3B6F" w:rsidRDefault="002A2254" w:rsidP="003A532B">
      <w:pPr>
        <w:rPr>
          <w:b/>
          <w:bCs/>
          <w:sz w:val="36"/>
          <w:szCs w:val="36"/>
        </w:rPr>
      </w:pPr>
      <w:r>
        <w:rPr>
          <w:b/>
          <w:bCs/>
          <w:sz w:val="36"/>
          <w:szCs w:val="36"/>
        </w:rPr>
        <w:t xml:space="preserve">DÜNYA </w:t>
      </w:r>
      <w:r w:rsidRPr="00CA3B6F">
        <w:rPr>
          <w:b/>
          <w:bCs/>
          <w:sz w:val="36"/>
          <w:szCs w:val="36"/>
        </w:rPr>
        <w:t>TOHUM PİYASASI ANALİZİ</w:t>
      </w:r>
    </w:p>
    <w:p w:rsidR="002A2254" w:rsidRPr="00CA3B6F" w:rsidRDefault="002A2254" w:rsidP="002A2254">
      <w:pPr>
        <w:pStyle w:val="ListeParagraf"/>
        <w:numPr>
          <w:ilvl w:val="0"/>
          <w:numId w:val="5"/>
        </w:numPr>
        <w:rPr>
          <w:sz w:val="36"/>
          <w:szCs w:val="36"/>
        </w:rPr>
      </w:pPr>
      <w:r w:rsidRPr="00CA3B6F">
        <w:rPr>
          <w:sz w:val="36"/>
          <w:szCs w:val="36"/>
        </w:rPr>
        <w:t>Tohum Pazarı büyüklüğünün 2024 yılı</w:t>
      </w:r>
      <w:r>
        <w:rPr>
          <w:sz w:val="36"/>
          <w:szCs w:val="36"/>
        </w:rPr>
        <w:t>nda da</w:t>
      </w:r>
      <w:r w:rsidRPr="00CA3B6F">
        <w:rPr>
          <w:sz w:val="36"/>
          <w:szCs w:val="36"/>
        </w:rPr>
        <w:t xml:space="preserve"> </w:t>
      </w:r>
      <w:r w:rsidRPr="00CA3B6F">
        <w:rPr>
          <w:color w:val="FF0000"/>
          <w:sz w:val="36"/>
          <w:szCs w:val="36"/>
        </w:rPr>
        <w:t xml:space="preserve">73 milyar ABD doları </w:t>
      </w:r>
      <w:r w:rsidRPr="00CA3B6F">
        <w:rPr>
          <w:sz w:val="36"/>
          <w:szCs w:val="36"/>
        </w:rPr>
        <w:t>olacağı tahmin ediliyor</w:t>
      </w:r>
      <w:r>
        <w:rPr>
          <w:sz w:val="36"/>
          <w:szCs w:val="36"/>
        </w:rPr>
        <w:t>,</w:t>
      </w:r>
      <w:r w:rsidRPr="00CA3B6F">
        <w:rPr>
          <w:sz w:val="36"/>
          <w:szCs w:val="36"/>
        </w:rPr>
        <w:t xml:space="preserve"> </w:t>
      </w:r>
    </w:p>
    <w:p w:rsidR="002A2254" w:rsidRDefault="002A2254" w:rsidP="002A2254">
      <w:pPr>
        <w:pStyle w:val="ListeParagraf"/>
        <w:numPr>
          <w:ilvl w:val="0"/>
          <w:numId w:val="5"/>
        </w:numPr>
        <w:rPr>
          <w:sz w:val="36"/>
          <w:szCs w:val="36"/>
        </w:rPr>
      </w:pPr>
      <w:r w:rsidRPr="00CA3B6F">
        <w:rPr>
          <w:sz w:val="36"/>
          <w:szCs w:val="36"/>
        </w:rPr>
        <w:t xml:space="preserve">Tahmin döneminde (2024-2030) %5,38'lik bir bileşik yıllık büyüme oranıyla (CAGR) </w:t>
      </w:r>
      <w:r w:rsidRPr="00CA3B6F">
        <w:rPr>
          <w:color w:val="FF0000"/>
          <w:sz w:val="36"/>
          <w:szCs w:val="36"/>
        </w:rPr>
        <w:t xml:space="preserve">2030 yılına kadar 99,94 milyar ABD dolarına </w:t>
      </w:r>
      <w:r w:rsidRPr="00CA3B6F">
        <w:rPr>
          <w:sz w:val="36"/>
          <w:szCs w:val="36"/>
        </w:rPr>
        <w:t>ulaşması bekleniyor.</w:t>
      </w:r>
    </w:p>
    <w:p w:rsidR="002A2254" w:rsidRDefault="002A2254" w:rsidP="002A2254">
      <w:pPr>
        <w:pStyle w:val="ListeParagraf"/>
        <w:numPr>
          <w:ilvl w:val="0"/>
          <w:numId w:val="5"/>
        </w:numPr>
        <w:rPr>
          <w:sz w:val="36"/>
          <w:szCs w:val="36"/>
        </w:rPr>
      </w:pPr>
      <w:r w:rsidRPr="00CA3B6F">
        <w:rPr>
          <w:sz w:val="36"/>
          <w:szCs w:val="36"/>
        </w:rPr>
        <w:t xml:space="preserve">Ürün Ailesine Göre </w:t>
      </w:r>
      <w:r w:rsidRPr="00CA3B6F">
        <w:rPr>
          <w:color w:val="FF0000"/>
          <w:sz w:val="36"/>
          <w:szCs w:val="36"/>
        </w:rPr>
        <w:t>En Büyük Pazar 56.45 % değer payı, Tahıllar ve Hububat</w:t>
      </w:r>
      <w:r w:rsidRPr="00CA3B6F">
        <w:rPr>
          <w:sz w:val="36"/>
          <w:szCs w:val="36"/>
        </w:rPr>
        <w:t xml:space="preserve"> </w:t>
      </w:r>
      <w:r>
        <w:rPr>
          <w:sz w:val="36"/>
          <w:szCs w:val="36"/>
        </w:rPr>
        <w:t>(serin ve sıcak iklim tahılları)</w:t>
      </w:r>
    </w:p>
    <w:p w:rsidR="002A2254" w:rsidRDefault="002A2254" w:rsidP="002A2254">
      <w:pPr>
        <w:pStyle w:val="ListeParagraf"/>
        <w:numPr>
          <w:ilvl w:val="0"/>
          <w:numId w:val="5"/>
        </w:numPr>
        <w:rPr>
          <w:color w:val="FF0000"/>
          <w:sz w:val="36"/>
          <w:szCs w:val="36"/>
        </w:rPr>
      </w:pPr>
      <w:r w:rsidRPr="00CA3B6F">
        <w:rPr>
          <w:sz w:val="36"/>
          <w:szCs w:val="36"/>
        </w:rPr>
        <w:t xml:space="preserve">Ülkeye Göre </w:t>
      </w:r>
      <w:r w:rsidRPr="00CA3B6F">
        <w:rPr>
          <w:color w:val="FF0000"/>
          <w:sz w:val="36"/>
          <w:szCs w:val="36"/>
        </w:rPr>
        <w:t>En Büyük Pazar 25,49 % değer payı</w:t>
      </w:r>
      <w:r w:rsidRPr="00CA3B6F">
        <w:rPr>
          <w:sz w:val="36"/>
          <w:szCs w:val="36"/>
        </w:rPr>
        <w:t xml:space="preserve">, </w:t>
      </w:r>
      <w:r w:rsidRPr="00CA3B6F">
        <w:rPr>
          <w:color w:val="FF0000"/>
          <w:sz w:val="36"/>
          <w:szCs w:val="36"/>
        </w:rPr>
        <w:t xml:space="preserve">Amerika Birleşik Devletleri </w:t>
      </w:r>
    </w:p>
    <w:p w:rsidR="002A2254" w:rsidRDefault="002A2254" w:rsidP="002A2254">
      <w:pPr>
        <w:pStyle w:val="ListeParagraf"/>
        <w:numPr>
          <w:ilvl w:val="0"/>
          <w:numId w:val="5"/>
        </w:numPr>
        <w:rPr>
          <w:sz w:val="36"/>
          <w:szCs w:val="36"/>
        </w:rPr>
      </w:pPr>
      <w:r w:rsidRPr="00CA3B6F">
        <w:rPr>
          <w:sz w:val="36"/>
          <w:szCs w:val="36"/>
        </w:rPr>
        <w:t xml:space="preserve">Ürün Ailesine Göre </w:t>
      </w:r>
      <w:r w:rsidRPr="00CA3B6F">
        <w:rPr>
          <w:color w:val="FF0000"/>
          <w:sz w:val="36"/>
          <w:szCs w:val="36"/>
        </w:rPr>
        <w:t xml:space="preserve">En Hızlı Büyüyen Pazar 6.01 % </w:t>
      </w:r>
      <w:r w:rsidRPr="00CA3B6F">
        <w:rPr>
          <w:sz w:val="36"/>
          <w:szCs w:val="36"/>
        </w:rPr>
        <w:t>Yağlı Tohumlar</w:t>
      </w:r>
    </w:p>
    <w:p w:rsidR="002A2254" w:rsidRDefault="002A2254" w:rsidP="002A2254">
      <w:pPr>
        <w:pStyle w:val="ListeParagraf"/>
        <w:numPr>
          <w:ilvl w:val="0"/>
          <w:numId w:val="5"/>
        </w:numPr>
        <w:rPr>
          <w:sz w:val="36"/>
          <w:szCs w:val="36"/>
        </w:rPr>
      </w:pPr>
      <w:r w:rsidRPr="00CA3B6F">
        <w:rPr>
          <w:sz w:val="36"/>
          <w:szCs w:val="36"/>
        </w:rPr>
        <w:t xml:space="preserve">Ülkeye Göre </w:t>
      </w:r>
      <w:r w:rsidRPr="00CA3B6F">
        <w:rPr>
          <w:color w:val="FF0000"/>
          <w:sz w:val="36"/>
          <w:szCs w:val="36"/>
        </w:rPr>
        <w:t xml:space="preserve">En Hızlı Büyüyen Pazar %8,37 </w:t>
      </w:r>
      <w:r w:rsidRPr="00CA3B6F">
        <w:rPr>
          <w:sz w:val="36"/>
          <w:szCs w:val="36"/>
        </w:rPr>
        <w:t>Rusya</w:t>
      </w:r>
    </w:p>
    <w:p w:rsidR="002A2254" w:rsidRPr="00CA3B6F" w:rsidRDefault="002A2254" w:rsidP="002A2254">
      <w:pPr>
        <w:pStyle w:val="ListeParagraf"/>
        <w:numPr>
          <w:ilvl w:val="0"/>
          <w:numId w:val="5"/>
        </w:numPr>
        <w:jc w:val="both"/>
        <w:rPr>
          <w:sz w:val="28"/>
          <w:szCs w:val="28"/>
        </w:rPr>
      </w:pPr>
      <w:r w:rsidRPr="00CA3B6F">
        <w:rPr>
          <w:sz w:val="36"/>
          <w:szCs w:val="36"/>
        </w:rPr>
        <w:t xml:space="preserve">Lider Pazar Oyuncusu </w:t>
      </w:r>
      <w:r w:rsidRPr="00CA3B6F">
        <w:rPr>
          <w:color w:val="FF0000"/>
          <w:sz w:val="36"/>
          <w:szCs w:val="36"/>
        </w:rPr>
        <w:t xml:space="preserve">17.05 % pazar payı, </w:t>
      </w:r>
      <w:r w:rsidRPr="00CA3B6F">
        <w:rPr>
          <w:sz w:val="36"/>
          <w:szCs w:val="36"/>
        </w:rPr>
        <w:t>Bayer AG</w:t>
      </w:r>
      <w:r w:rsidR="003A532B">
        <w:rPr>
          <w:sz w:val="36"/>
          <w:szCs w:val="36"/>
        </w:rPr>
        <w:t xml:space="preserve"> </w:t>
      </w:r>
      <w:r w:rsidRPr="00CA3B6F">
        <w:rPr>
          <w:sz w:val="28"/>
          <w:szCs w:val="28"/>
        </w:rPr>
        <w:t>ürün yenilikleri, araştırma ve geliştirmeye yaptığı yatırımlar ve bölgesel oyuncularla kurduğu ortaklıklar sayesinde küresel tohum pazarının lideri konumundadır.</w:t>
      </w:r>
    </w:p>
    <w:p w:rsidR="002A2254" w:rsidRPr="00CA3B6F" w:rsidRDefault="002A2254" w:rsidP="002A2254">
      <w:pPr>
        <w:pStyle w:val="ListeParagraf"/>
        <w:numPr>
          <w:ilvl w:val="0"/>
          <w:numId w:val="5"/>
        </w:numPr>
        <w:jc w:val="both"/>
        <w:rPr>
          <w:sz w:val="28"/>
          <w:szCs w:val="28"/>
        </w:rPr>
      </w:pPr>
      <w:r w:rsidRPr="00CA3B6F">
        <w:rPr>
          <w:b/>
          <w:bCs/>
          <w:sz w:val="28"/>
          <w:szCs w:val="28"/>
        </w:rPr>
        <w:t xml:space="preserve">Hibritler, yüksek verim, zararlılara dayanıklılık ve diğer gelişmiş özellikler nedeniyle pazara hakimdir </w:t>
      </w:r>
    </w:p>
    <w:p w:rsidR="002A2254" w:rsidRPr="00CA3B6F" w:rsidRDefault="002A2254" w:rsidP="002A2254">
      <w:pPr>
        <w:numPr>
          <w:ilvl w:val="0"/>
          <w:numId w:val="1"/>
        </w:numPr>
        <w:jc w:val="both"/>
        <w:rPr>
          <w:sz w:val="28"/>
          <w:szCs w:val="28"/>
        </w:rPr>
      </w:pPr>
      <w:r w:rsidRPr="00CA3B6F">
        <w:rPr>
          <w:sz w:val="28"/>
          <w:szCs w:val="28"/>
        </w:rPr>
        <w:t xml:space="preserve">2022'de melezler, küresel tohum pazarının %73,0'lık bir payını oluşturan açık tozlaşmalı çeşitlere </w:t>
      </w:r>
      <w:proofErr w:type="gramStart"/>
      <w:r w:rsidRPr="00CA3B6F">
        <w:rPr>
          <w:sz w:val="28"/>
          <w:szCs w:val="28"/>
        </w:rPr>
        <w:t>hakim</w:t>
      </w:r>
      <w:proofErr w:type="gramEnd"/>
      <w:r w:rsidRPr="00CA3B6F">
        <w:rPr>
          <w:sz w:val="28"/>
          <w:szCs w:val="28"/>
        </w:rPr>
        <w:t xml:space="preserve"> oldu. Melez tohumlar, daha yüksek verimlilik, daha geniş uyum yeteneği ve biyotik ve </w:t>
      </w:r>
      <w:proofErr w:type="spellStart"/>
      <w:r w:rsidRPr="00CA3B6F">
        <w:rPr>
          <w:sz w:val="28"/>
          <w:szCs w:val="28"/>
        </w:rPr>
        <w:t>abiyotik</w:t>
      </w:r>
      <w:proofErr w:type="spellEnd"/>
      <w:r w:rsidRPr="00CA3B6F">
        <w:rPr>
          <w:sz w:val="28"/>
          <w:szCs w:val="28"/>
        </w:rPr>
        <w:t xml:space="preserve"> streslere karşı yüksek derecede direnç gibi çeşitli faydaları nedeniyle, esas olarak büyük tarım üreten ülkelerden yüksek büyümeye tanık oldu. Örneğin, melezler pamukta geleneksel çeşitlere göre %50 daha fazla verim sağlar. Daha geniş uyum yetenekleri, esas olarak çevresel dalgalanmalara karşı yüksek tamponlama kapasitelerinden kaynaklanmaktadır.</w:t>
      </w:r>
    </w:p>
    <w:p w:rsidR="002A2254" w:rsidRPr="00CA3B6F" w:rsidRDefault="002A2254" w:rsidP="002A2254">
      <w:pPr>
        <w:numPr>
          <w:ilvl w:val="0"/>
          <w:numId w:val="1"/>
        </w:numPr>
        <w:jc w:val="both"/>
        <w:rPr>
          <w:sz w:val="28"/>
          <w:szCs w:val="28"/>
        </w:rPr>
      </w:pPr>
      <w:r w:rsidRPr="00CA3B6F">
        <w:rPr>
          <w:sz w:val="28"/>
          <w:szCs w:val="28"/>
        </w:rPr>
        <w:t>2022'de, transgenik olmayan hibrit tohumlar, 28,16 milyar ABD doları değerindeki küresel hibrit tohum pazarının %58,4'lük payını oluşturdu. Pazar, 2017 ile 2022 arasında %20,2 arttı. Artış, esas olarak daha yüksek verime duyulan ihtiyaç, organik ürünlere olan artan talep ve kişi başına düşen tüketimin artmasına bağlandı.</w:t>
      </w:r>
    </w:p>
    <w:p w:rsidR="002A2254" w:rsidRPr="00CA3B6F" w:rsidRDefault="002A2254" w:rsidP="002A2254">
      <w:pPr>
        <w:numPr>
          <w:ilvl w:val="0"/>
          <w:numId w:val="1"/>
        </w:numPr>
        <w:jc w:val="both"/>
        <w:rPr>
          <w:sz w:val="28"/>
          <w:szCs w:val="28"/>
        </w:rPr>
      </w:pPr>
      <w:r w:rsidRPr="00CA3B6F">
        <w:rPr>
          <w:sz w:val="28"/>
          <w:szCs w:val="28"/>
        </w:rPr>
        <w:lastRenderedPageBreak/>
        <w:t>Yeni bitki yetiştirme teknikleri, tohumların ve bitki hücrelerinin DNA'sını değiştirerek istenen özelliklere sahip yeni bitki çeşitlerinin geliştirilmesine olanak sağlıyor. Şirketler, farklı iklim koşullarına uyum sağlayabilen, yüksek verim potansiyeline sahip, hastalıklara dayanıklı ve kuraklığa dayanıklı gelişmiş ve geliştirilmiş çeşitlere olan talebin artması nedeniyle yeni bitki teknolojilerine yoğun bir şekilde yatırım yapıyor.</w:t>
      </w:r>
    </w:p>
    <w:p w:rsidR="002A2254" w:rsidRPr="00CA3B6F" w:rsidRDefault="002A2254" w:rsidP="002A2254">
      <w:pPr>
        <w:numPr>
          <w:ilvl w:val="0"/>
          <w:numId w:val="1"/>
        </w:numPr>
        <w:jc w:val="both"/>
        <w:rPr>
          <w:sz w:val="28"/>
          <w:szCs w:val="28"/>
        </w:rPr>
      </w:pPr>
      <w:r w:rsidRPr="00CA3B6F">
        <w:rPr>
          <w:sz w:val="28"/>
          <w:szCs w:val="28"/>
        </w:rPr>
        <w:t>2022 yılında, transgenik hibritler arasında, herbisit toleranslı bitkiler, küresel tohum pazarında değer açısından daha yüksek bir paya sahip olmuştur. Bunun başlıca nedeni, yabancı otların bitki yetiştiriciliğinde en büyük sorun olması ve ürün veriminde %20-25 oranında bir azalmaya yol açabilmesidir.</w:t>
      </w:r>
    </w:p>
    <w:p w:rsidR="002A2254" w:rsidRPr="00CA3B6F" w:rsidRDefault="002A2254" w:rsidP="002A2254">
      <w:pPr>
        <w:numPr>
          <w:ilvl w:val="0"/>
          <w:numId w:val="1"/>
        </w:numPr>
        <w:jc w:val="both"/>
        <w:rPr>
          <w:sz w:val="28"/>
          <w:szCs w:val="28"/>
        </w:rPr>
      </w:pPr>
      <w:r w:rsidRPr="00CA3B6F">
        <w:rPr>
          <w:sz w:val="28"/>
          <w:szCs w:val="28"/>
        </w:rPr>
        <w:t xml:space="preserve">Geliştirilmiş açık tozlaşmalı çeşitleri benimsemenin yüksek verim, yerel ortama iyi adapte olma ve mahsullerin daha güçlü büyümesine izin verme gibi birçok faydası vardır. Talepteki artış nedeniyle, </w:t>
      </w:r>
      <w:proofErr w:type="spellStart"/>
      <w:r w:rsidRPr="00CA3B6F">
        <w:rPr>
          <w:sz w:val="28"/>
          <w:szCs w:val="28"/>
        </w:rPr>
        <w:t>OPV'nin</w:t>
      </w:r>
      <w:proofErr w:type="spellEnd"/>
      <w:r w:rsidRPr="00CA3B6F">
        <w:rPr>
          <w:sz w:val="28"/>
          <w:szCs w:val="28"/>
        </w:rPr>
        <w:t xml:space="preserve"> pay değeri 2022'de bir önceki yıla göre %9,2 arttı.</w:t>
      </w:r>
    </w:p>
    <w:p w:rsidR="002A2254" w:rsidRPr="00CA3B6F" w:rsidRDefault="002A2254" w:rsidP="002A2254">
      <w:pPr>
        <w:jc w:val="both"/>
        <w:rPr>
          <w:b/>
          <w:bCs/>
          <w:sz w:val="28"/>
          <w:szCs w:val="28"/>
        </w:rPr>
      </w:pPr>
      <w:r w:rsidRPr="00CA3B6F">
        <w:rPr>
          <w:b/>
          <w:bCs/>
          <w:sz w:val="28"/>
          <w:szCs w:val="28"/>
        </w:rPr>
        <w:t xml:space="preserve">Kuzey Amerika, transgenikler de dahil olmak üzere hibritlerin daha fazla benimsenmesi nedeniyle küresel olarak en büyük tohum pazarına sahiptir </w:t>
      </w:r>
    </w:p>
    <w:p w:rsidR="002A2254" w:rsidRPr="00CA3B6F" w:rsidRDefault="002A2254" w:rsidP="002A2254">
      <w:pPr>
        <w:numPr>
          <w:ilvl w:val="0"/>
          <w:numId w:val="2"/>
        </w:numPr>
        <w:jc w:val="both"/>
        <w:rPr>
          <w:sz w:val="28"/>
          <w:szCs w:val="28"/>
        </w:rPr>
      </w:pPr>
      <w:r w:rsidRPr="00CA3B6F">
        <w:rPr>
          <w:sz w:val="28"/>
          <w:szCs w:val="28"/>
        </w:rPr>
        <w:t>Kuzey Amerika, üretim açısından en büyük tarım bölgelerinden biridir ve küresel tohum pazarında %34,5'lik büyük bir paya sahiptir, bunun nedeni de ana mahsullerin altındaki alanın artması ve tohum yenileme oranındaki artıştır. Örneğin, tahıllar altında hasat edilen alan 2017'deki 79,2 milyon hektardan 2022'de 82,7 milyon hektara çıkmıştır.</w:t>
      </w:r>
    </w:p>
    <w:p w:rsidR="002A2254" w:rsidRPr="00CA3B6F" w:rsidRDefault="002A2254" w:rsidP="002A2254">
      <w:pPr>
        <w:numPr>
          <w:ilvl w:val="0"/>
          <w:numId w:val="2"/>
        </w:numPr>
        <w:jc w:val="both"/>
        <w:rPr>
          <w:sz w:val="28"/>
          <w:szCs w:val="28"/>
        </w:rPr>
      </w:pPr>
      <w:r w:rsidRPr="00CA3B6F">
        <w:rPr>
          <w:sz w:val="28"/>
          <w:szCs w:val="28"/>
        </w:rPr>
        <w:t>Asya-Pasifik, dünyanın önde gelen tohum pazarlarından birine sahiptir. Asya-Pasifik ülkeleri arasında Çin, mısırın büyük bir paya sahip olması ve 2022'de Çin tohum pazarının %50,8'ini oluşturmasıyla en büyük tohum pazarıydı. Bunun başlıca nedeni biyoteknolojik mahsullerin benimsenmesiydi.</w:t>
      </w:r>
    </w:p>
    <w:p w:rsidR="002A2254" w:rsidRPr="00CA3B6F" w:rsidRDefault="002A2254" w:rsidP="002A2254">
      <w:pPr>
        <w:numPr>
          <w:ilvl w:val="0"/>
          <w:numId w:val="2"/>
        </w:numPr>
        <w:jc w:val="both"/>
        <w:rPr>
          <w:sz w:val="28"/>
          <w:szCs w:val="28"/>
        </w:rPr>
      </w:pPr>
      <w:r w:rsidRPr="00CA3B6F">
        <w:rPr>
          <w:sz w:val="28"/>
          <w:szCs w:val="28"/>
        </w:rPr>
        <w:t>Avrupa, 2022 yılında küresel yem tohumu pazarında %26,7'lik bir pazar payına sahip olarak yem bitkilerinin başlıca üreticilerinden biridir. Yem tohumu pazarının başlıca itici güçleri arasında yem ürünlerine olan talebin artması ve otlayan hayvanlar için ayrılan alanların azalması yer almaktadır.</w:t>
      </w:r>
    </w:p>
    <w:p w:rsidR="002A2254" w:rsidRPr="00CA3B6F" w:rsidRDefault="002A2254" w:rsidP="002A2254">
      <w:pPr>
        <w:numPr>
          <w:ilvl w:val="0"/>
          <w:numId w:val="2"/>
        </w:numPr>
        <w:jc w:val="both"/>
        <w:rPr>
          <w:sz w:val="28"/>
          <w:szCs w:val="28"/>
        </w:rPr>
      </w:pPr>
      <w:r w:rsidRPr="00CA3B6F">
        <w:rPr>
          <w:sz w:val="28"/>
          <w:szCs w:val="28"/>
        </w:rPr>
        <w:t>Afrika'da ise sıra bitkileri 2022 yılında %78,0'lık oranla en büyük paya sahip olmuştur. Sıra bitkilerinin en büyük paya sahip olmasının temel nedeni ise ekim alanlarının artmasıyla birlikte tüketimin artmasıdır.</w:t>
      </w:r>
    </w:p>
    <w:p w:rsidR="002A2254" w:rsidRPr="00CA3B6F" w:rsidRDefault="002A2254" w:rsidP="002A2254">
      <w:pPr>
        <w:numPr>
          <w:ilvl w:val="0"/>
          <w:numId w:val="2"/>
        </w:numPr>
        <w:jc w:val="both"/>
        <w:rPr>
          <w:sz w:val="28"/>
          <w:szCs w:val="28"/>
        </w:rPr>
      </w:pPr>
      <w:r w:rsidRPr="00CA3B6F">
        <w:rPr>
          <w:sz w:val="28"/>
          <w:szCs w:val="28"/>
        </w:rPr>
        <w:lastRenderedPageBreak/>
        <w:t>2023-2030 yılları arasında, Güney Amerika'nın melez benimseme oranının, verimde %10-15 artış, iyi kalite ve daha iyi yatırım getirisi nedeniyle açık tozlaşmalı tohum çeşitlerini aşması bekleniyor. Bu nedenle, melez tohum benimsemesinin tahmin döneminde artması bekleniyor.</w:t>
      </w:r>
    </w:p>
    <w:p w:rsidR="002A2254" w:rsidRPr="00CA3B6F" w:rsidRDefault="002A2254" w:rsidP="002A2254">
      <w:pPr>
        <w:numPr>
          <w:ilvl w:val="0"/>
          <w:numId w:val="2"/>
        </w:numPr>
        <w:jc w:val="both"/>
        <w:rPr>
          <w:sz w:val="28"/>
          <w:szCs w:val="28"/>
        </w:rPr>
      </w:pPr>
      <w:r w:rsidRPr="00CA3B6F">
        <w:rPr>
          <w:sz w:val="28"/>
          <w:szCs w:val="28"/>
        </w:rPr>
        <w:t>Orta Doğu'daki tohum pazarının, Orta Doğu'da hibrit tohumların daha az kullanılması nedeniyle tahmin döneminde orta düzeyde büyümesi bekleniyor. Yetiştiriciler transgenik tohumlar kullanmakla ilgilenmiyor; bu nedenle, iç talebi karşılamak için mahsulün yaklaşık %30-50'sini diğer ülkelerden ithal etmeleri gerekiyor.</w:t>
      </w:r>
    </w:p>
    <w:p w:rsidR="002A2254" w:rsidRPr="00CA3B6F" w:rsidRDefault="002A2254" w:rsidP="002A2254">
      <w:pPr>
        <w:jc w:val="both"/>
        <w:rPr>
          <w:b/>
          <w:bCs/>
          <w:color w:val="FF0000"/>
          <w:sz w:val="28"/>
          <w:szCs w:val="28"/>
        </w:rPr>
      </w:pPr>
      <w:r w:rsidRPr="00CA3B6F">
        <w:rPr>
          <w:b/>
          <w:bCs/>
          <w:color w:val="FF0000"/>
          <w:sz w:val="28"/>
          <w:szCs w:val="28"/>
        </w:rPr>
        <w:t xml:space="preserve">Küresel Tohum Piyasası Trendleri </w:t>
      </w:r>
    </w:p>
    <w:p w:rsidR="002A2254" w:rsidRPr="00CA3B6F" w:rsidRDefault="002A2254" w:rsidP="002A2254">
      <w:pPr>
        <w:jc w:val="both"/>
        <w:rPr>
          <w:b/>
          <w:bCs/>
          <w:sz w:val="28"/>
          <w:szCs w:val="28"/>
        </w:rPr>
      </w:pPr>
      <w:r w:rsidRPr="00CA3B6F">
        <w:rPr>
          <w:b/>
          <w:bCs/>
          <w:sz w:val="28"/>
          <w:szCs w:val="28"/>
        </w:rPr>
        <w:t>İşleme endüstrilerinden gelen tahıl, hububat ve yağlı tohumlara olan talebin artması ve hanelerden gelen talep, ekim alanını artırıyor</w:t>
      </w:r>
    </w:p>
    <w:p w:rsidR="002A2254" w:rsidRPr="00CA3B6F" w:rsidRDefault="002A2254" w:rsidP="002A2254">
      <w:pPr>
        <w:numPr>
          <w:ilvl w:val="0"/>
          <w:numId w:val="3"/>
        </w:numPr>
        <w:jc w:val="both"/>
        <w:rPr>
          <w:sz w:val="28"/>
          <w:szCs w:val="28"/>
        </w:rPr>
      </w:pPr>
      <w:r w:rsidRPr="00CA3B6F">
        <w:rPr>
          <w:sz w:val="28"/>
          <w:szCs w:val="28"/>
        </w:rPr>
        <w:t>Küresel olarak, tahıl ve hububat segmenti, 2022'de 1,1 milyar hektarlık bir alanla en büyük ekili segmentti. Buğday, mısır ve pirinç, küresel olarak yaygın olarak yetiştirilen ana tahıl ürünleridir. Tahıl ve hububat ekim alanı 2017 ile 2022 arasında %1,9 arttı. Bu artış, esas olarak ülkelerin çoğunda temel gıda olarak tahıllara olan talebin artmasından kaynaklandı. Buğday ana tahıl ürünüdür ve 2022'de toplam tahıl ekim alanının yaklaşık %20,5'ini oluşturdu. Esas olarak ılıman bölgelerde ve subtropikal bölgelerde temel gıda ürünü olarak yetiştirilir. Asya-Pasifik, elverişli iklim koşulları ve tüketicilerden ve işleme endüstrilerinden gelen talep nedeniyle buğday ekim alanının en büyüğüne sahipti.</w:t>
      </w:r>
    </w:p>
    <w:p w:rsidR="002A2254" w:rsidRPr="00CA3B6F" w:rsidRDefault="002A2254" w:rsidP="002A2254">
      <w:pPr>
        <w:numPr>
          <w:ilvl w:val="0"/>
          <w:numId w:val="3"/>
        </w:numPr>
        <w:jc w:val="both"/>
        <w:rPr>
          <w:sz w:val="28"/>
          <w:szCs w:val="28"/>
        </w:rPr>
      </w:pPr>
      <w:r w:rsidRPr="00CA3B6F">
        <w:rPr>
          <w:sz w:val="28"/>
          <w:szCs w:val="28"/>
        </w:rPr>
        <w:t>Yağlı tohumlar, 2022'de küresel sıra mahsulü ekim alanının %18,4'ünü (1,5 milyar hektar) oluşturuyordu. Yağlı tohum ekim alanının çoğunu soya fasulyesi oluşturuyordu, bunu kolza tohumu ve ayçiçeği takip ediyordu. Yağlı tohumlar için ekilen alan 2017 ile 2022 arasında %9 artarak 289,6 milyon hektara ulaştı. Bu artışın başlıca nedeni, cazip fiyatlarla küresel olarak yağlı tohumlara olan talebin artmasıydı.</w:t>
      </w:r>
    </w:p>
    <w:p w:rsidR="002A2254" w:rsidRPr="00CA3B6F" w:rsidRDefault="002A2254" w:rsidP="002A2254">
      <w:pPr>
        <w:numPr>
          <w:ilvl w:val="0"/>
          <w:numId w:val="3"/>
        </w:numPr>
        <w:jc w:val="both"/>
        <w:rPr>
          <w:sz w:val="28"/>
          <w:szCs w:val="28"/>
        </w:rPr>
      </w:pPr>
      <w:r w:rsidRPr="00CA3B6F">
        <w:rPr>
          <w:sz w:val="28"/>
          <w:szCs w:val="28"/>
        </w:rPr>
        <w:t>Yem bitkileri yetiştirilen alan 2022 yılında 80,4 milyon hektara ulaştı. Yem bitkileri arasında yonca, ekim alanı bakımından baskın bir üründür. 2022 yılında %39,2'yi oluşturuyordu. Bunun nedeni, yoncanın çeşitli hava ve toprak koşullarında bol miktarda protein ve çekici yem üretme kapasitesidir.</w:t>
      </w:r>
    </w:p>
    <w:p w:rsidR="002A2254" w:rsidRPr="00CA3B6F" w:rsidRDefault="002A2254" w:rsidP="002A2254">
      <w:pPr>
        <w:numPr>
          <w:ilvl w:val="0"/>
          <w:numId w:val="3"/>
        </w:numPr>
        <w:jc w:val="both"/>
        <w:rPr>
          <w:sz w:val="28"/>
          <w:szCs w:val="28"/>
        </w:rPr>
      </w:pPr>
      <w:r w:rsidRPr="00CA3B6F">
        <w:rPr>
          <w:sz w:val="28"/>
          <w:szCs w:val="28"/>
        </w:rPr>
        <w:lastRenderedPageBreak/>
        <w:t>Bu nedenle, yurtiçi tüketim ve işleme endüstrileri için ürünlere olan talebin artması, ekim alanının artmasına yardımcı olmuş ve tahmin döneminde pazarın büyümesini yönlendirmesi beklenmektedir.</w:t>
      </w:r>
    </w:p>
    <w:p w:rsidR="002A2254" w:rsidRPr="00CA3B6F" w:rsidRDefault="002A2254" w:rsidP="002A2254">
      <w:pPr>
        <w:jc w:val="both"/>
        <w:rPr>
          <w:b/>
          <w:bCs/>
          <w:sz w:val="28"/>
          <w:szCs w:val="28"/>
        </w:rPr>
      </w:pPr>
      <w:r w:rsidRPr="00CA3B6F">
        <w:rPr>
          <w:b/>
          <w:bCs/>
          <w:sz w:val="28"/>
          <w:szCs w:val="28"/>
        </w:rPr>
        <w:t>Hayvancılıkta yem talebinin artması, hastalıklara dayanıklı, daha geniş adaptasyon kabiliyetine sahip ve erken olgunluk özelliklerine sahip yem tohumlarının kullanımını teşvik ediyor</w:t>
      </w:r>
    </w:p>
    <w:p w:rsidR="002A2254" w:rsidRPr="00CA3B6F" w:rsidRDefault="002A2254" w:rsidP="002A2254">
      <w:pPr>
        <w:numPr>
          <w:ilvl w:val="0"/>
          <w:numId w:val="4"/>
        </w:numPr>
        <w:jc w:val="both"/>
        <w:rPr>
          <w:sz w:val="28"/>
          <w:szCs w:val="28"/>
        </w:rPr>
      </w:pPr>
      <w:r w:rsidRPr="00CA3B6F">
        <w:rPr>
          <w:sz w:val="28"/>
          <w:szCs w:val="28"/>
        </w:rPr>
        <w:t>Yonca ve yemlik mısır, daha fazla sindirilebilirlik ve yüksek protein gibi hayvancılıktaki faydaları nedeniyle başlıca yem bitkileridir. Ayrıca çiftçilerin iyi kalitede daha yüksek verim elde etmelerini sağlar. Yonca için daha geniş adaptasyon, hava değişiklikleri, erken olgunlaşmaya yönelik artan talep ve farklı girdilerin kullanımını en aza indirmek için tek bir üründe düşük lignin içeriği olması nedeniyle en çok benimsenen özellikti. Ek olarak, daha geniş adaptasyon, özellikle Güney Amerika'da küresel pazarda en çok benimsenen özellikti, çünkü 2022'de %35,4'lük bir bölgesel pazar payına sahipti. Değişen tarımsal iklim koşulları, tarla stresi ve farklı bölgelerde büyüyen ürün yetiştiriciliği nedeniyle en çok benimsenen üründür.</w:t>
      </w:r>
    </w:p>
    <w:p w:rsidR="002A2254" w:rsidRPr="00CA3B6F" w:rsidRDefault="002A2254" w:rsidP="002A2254">
      <w:pPr>
        <w:numPr>
          <w:ilvl w:val="0"/>
          <w:numId w:val="4"/>
        </w:numPr>
        <w:jc w:val="both"/>
        <w:rPr>
          <w:sz w:val="28"/>
          <w:szCs w:val="28"/>
        </w:rPr>
      </w:pPr>
      <w:r w:rsidRPr="00CA3B6F">
        <w:rPr>
          <w:sz w:val="28"/>
          <w:szCs w:val="28"/>
        </w:rPr>
        <w:t xml:space="preserve">Bayer, DLF ve </w:t>
      </w:r>
      <w:proofErr w:type="spellStart"/>
      <w:r w:rsidRPr="00CA3B6F">
        <w:rPr>
          <w:sz w:val="28"/>
          <w:szCs w:val="28"/>
        </w:rPr>
        <w:t>Barenbrug</w:t>
      </w:r>
      <w:proofErr w:type="spellEnd"/>
      <w:r w:rsidRPr="00CA3B6F">
        <w:rPr>
          <w:sz w:val="28"/>
          <w:szCs w:val="28"/>
        </w:rPr>
        <w:t xml:space="preserve"> gibi şirketler, </w:t>
      </w:r>
      <w:proofErr w:type="spellStart"/>
      <w:r w:rsidRPr="00CA3B6F">
        <w:rPr>
          <w:sz w:val="28"/>
          <w:szCs w:val="28"/>
        </w:rPr>
        <w:t>Alfalfa</w:t>
      </w:r>
      <w:proofErr w:type="spellEnd"/>
      <w:r w:rsidRPr="00CA3B6F">
        <w:rPr>
          <w:sz w:val="28"/>
          <w:szCs w:val="28"/>
        </w:rPr>
        <w:t xml:space="preserve"> (DKC 3218, DKC 3204, </w:t>
      </w:r>
      <w:proofErr w:type="spellStart"/>
      <w:r w:rsidRPr="00CA3B6F">
        <w:rPr>
          <w:sz w:val="28"/>
          <w:szCs w:val="28"/>
        </w:rPr>
        <w:t>Debalto</w:t>
      </w:r>
      <w:proofErr w:type="spellEnd"/>
      <w:r w:rsidRPr="00CA3B6F">
        <w:rPr>
          <w:sz w:val="28"/>
          <w:szCs w:val="28"/>
        </w:rPr>
        <w:t xml:space="preserve"> ve </w:t>
      </w:r>
      <w:proofErr w:type="spellStart"/>
      <w:r w:rsidRPr="00CA3B6F">
        <w:rPr>
          <w:sz w:val="28"/>
          <w:szCs w:val="28"/>
        </w:rPr>
        <w:t>Marcamo</w:t>
      </w:r>
      <w:proofErr w:type="spellEnd"/>
      <w:r w:rsidRPr="00CA3B6F">
        <w:rPr>
          <w:sz w:val="28"/>
          <w:szCs w:val="28"/>
        </w:rPr>
        <w:t>) ve yem mısırı (</w:t>
      </w:r>
      <w:proofErr w:type="spellStart"/>
      <w:r w:rsidRPr="00CA3B6F">
        <w:rPr>
          <w:sz w:val="28"/>
          <w:szCs w:val="28"/>
        </w:rPr>
        <w:t>Daisy</w:t>
      </w:r>
      <w:proofErr w:type="spellEnd"/>
      <w:r w:rsidRPr="00CA3B6F">
        <w:rPr>
          <w:sz w:val="28"/>
          <w:szCs w:val="28"/>
        </w:rPr>
        <w:t xml:space="preserve">, </w:t>
      </w:r>
      <w:proofErr w:type="spellStart"/>
      <w:r w:rsidRPr="00CA3B6F">
        <w:rPr>
          <w:sz w:val="28"/>
          <w:szCs w:val="28"/>
        </w:rPr>
        <w:t>Fado</w:t>
      </w:r>
      <w:proofErr w:type="spellEnd"/>
      <w:r w:rsidRPr="00CA3B6F">
        <w:rPr>
          <w:sz w:val="28"/>
          <w:szCs w:val="28"/>
        </w:rPr>
        <w:t xml:space="preserve"> ve </w:t>
      </w:r>
      <w:proofErr w:type="spellStart"/>
      <w:r w:rsidRPr="00CA3B6F">
        <w:rPr>
          <w:sz w:val="28"/>
          <w:szCs w:val="28"/>
        </w:rPr>
        <w:t>Power</w:t>
      </w:r>
      <w:proofErr w:type="spellEnd"/>
      <w:r w:rsidRPr="00CA3B6F">
        <w:rPr>
          <w:sz w:val="28"/>
          <w:szCs w:val="28"/>
        </w:rPr>
        <w:t xml:space="preserve"> 4.2) gibi birçok yonca ve yem mısırı çeşidini piyasaya sürdü. Bu çeşitler çeşitli çevre koşullarına dayanabilir, çeşitli toprak tiplerine uyum sağlayabilir ve tarla stresine ve ısı koşullarına dayanabilir. AB Komisyonu'nun REFORMA projesi (2016-2020), gelişmiş yetiştirme teknikleri geliştirmeyi ve yeni yonca çeşitlerini tanıtmayı amaçlıyordu.</w:t>
      </w:r>
    </w:p>
    <w:p w:rsidR="002A2254" w:rsidRPr="00CA3B6F" w:rsidRDefault="002A2254" w:rsidP="002A2254">
      <w:pPr>
        <w:numPr>
          <w:ilvl w:val="0"/>
          <w:numId w:val="4"/>
        </w:numPr>
        <w:jc w:val="both"/>
        <w:rPr>
          <w:sz w:val="28"/>
          <w:szCs w:val="28"/>
        </w:rPr>
      </w:pPr>
      <w:r w:rsidRPr="00CA3B6F">
        <w:rPr>
          <w:sz w:val="28"/>
          <w:szCs w:val="28"/>
        </w:rPr>
        <w:t>Erken olgunluk ve yüksek nişasta içeriği özelliklerine sahip tohumlara olan talep, daha kısa büyüme süresi sunarak çiftçilerin daha erken hasat yapmasına olanak tanıdığı için artmaktadır. Yemlik mısırdaki yüksek nişasta içeriği, hayvan yemi için besin değerini artırır. Bu nedenle, şirketlerin tahmin döneminde bu çeşitleri daha büyük miktarlarda üretmesi beklenmektedir.</w:t>
      </w:r>
    </w:p>
    <w:p w:rsidR="002A2254" w:rsidRDefault="002A2254" w:rsidP="002A2254">
      <w:pPr>
        <w:numPr>
          <w:ilvl w:val="0"/>
          <w:numId w:val="4"/>
        </w:numPr>
        <w:jc w:val="both"/>
        <w:rPr>
          <w:sz w:val="28"/>
          <w:szCs w:val="28"/>
        </w:rPr>
      </w:pPr>
      <w:r w:rsidRPr="00CA3B6F">
        <w:rPr>
          <w:sz w:val="28"/>
          <w:szCs w:val="28"/>
        </w:rPr>
        <w:t>Hastalıklardan kaynaklanan artan kayıpların önüne geçmek ve verimi daha kısa sürede artırmak için hastalıklara dayanıklı, erken olgunlaşan tohumlar pazara yön veriyor.</w:t>
      </w:r>
    </w:p>
    <w:p w:rsidR="00AA4497" w:rsidRDefault="00AA4497" w:rsidP="00AA4497">
      <w:pPr>
        <w:ind w:left="360"/>
      </w:pPr>
      <w:r>
        <w:t xml:space="preserve">Kaynak: </w:t>
      </w:r>
      <w:hyperlink r:id="rId6" w:history="1">
        <w:r w:rsidRPr="00B74691">
          <w:rPr>
            <w:rStyle w:val="Kpr"/>
          </w:rPr>
          <w:t>https://www.mordorintelligence.com/industry-reports/seeds-industry</w:t>
        </w:r>
      </w:hyperlink>
    </w:p>
    <w:p w:rsidR="00AC1B13" w:rsidRDefault="00AC1B13"/>
    <w:p w:rsidR="002A2254" w:rsidRDefault="002A2254"/>
    <w:p w:rsidR="002A2254" w:rsidRDefault="002A2254"/>
    <w:p w:rsidR="002A2254" w:rsidRPr="00A358D7" w:rsidRDefault="002A2254" w:rsidP="002A2254">
      <w:pPr>
        <w:spacing w:after="0" w:line="240" w:lineRule="auto"/>
        <w:jc w:val="center"/>
        <w:rPr>
          <w:b/>
          <w:bCs/>
          <w:sz w:val="36"/>
          <w:szCs w:val="36"/>
        </w:rPr>
      </w:pPr>
      <w:r w:rsidRPr="00A358D7">
        <w:rPr>
          <w:b/>
          <w:bCs/>
          <w:sz w:val="36"/>
          <w:szCs w:val="36"/>
        </w:rPr>
        <w:t>DÜNYA TOHUMCULUK VERİLERİ</w:t>
      </w:r>
    </w:p>
    <w:p w:rsidR="002A2254" w:rsidRDefault="002A2254" w:rsidP="002A2254">
      <w:pPr>
        <w:spacing w:after="0" w:line="240" w:lineRule="auto"/>
      </w:pPr>
    </w:p>
    <w:p w:rsidR="002A2254" w:rsidRDefault="002A2254" w:rsidP="002A2254">
      <w:pPr>
        <w:spacing w:after="1"/>
        <w:ind w:left="-5" w:right="14"/>
      </w:pPr>
      <w:r>
        <w:t xml:space="preserve">Son yıllar karşılaştırıldığında 2020’den 2021’e geçilirken dünya sebze tohum pazarı </w:t>
      </w:r>
      <w:proofErr w:type="gramStart"/>
      <w:r>
        <w:t>% 3,6</w:t>
      </w:r>
      <w:proofErr w:type="gramEnd"/>
      <w:r>
        <w:t xml:space="preserve"> artış gösterirken, tarla bitkilerindeki artış % 4,4 olmuştur. </w:t>
      </w:r>
      <w:r>
        <w:rPr>
          <w:rFonts w:ascii="Tahoma" w:eastAsia="Tahoma" w:hAnsi="Tahoma" w:cs="Tahoma"/>
        </w:rPr>
        <w:t xml:space="preserve"> </w:t>
      </w:r>
    </w:p>
    <w:tbl>
      <w:tblPr>
        <w:tblStyle w:val="TableGrid"/>
        <w:tblW w:w="6369" w:type="dxa"/>
        <w:tblInd w:w="5" w:type="dxa"/>
        <w:tblCellMar>
          <w:top w:w="57" w:type="dxa"/>
          <w:left w:w="139" w:type="dxa"/>
          <w:right w:w="55" w:type="dxa"/>
        </w:tblCellMar>
        <w:tblLook w:val="04A0" w:firstRow="1" w:lastRow="0" w:firstColumn="1" w:lastColumn="0" w:noHBand="0" w:noVBand="1"/>
      </w:tblPr>
      <w:tblGrid>
        <w:gridCol w:w="2400"/>
        <w:gridCol w:w="1276"/>
        <w:gridCol w:w="1134"/>
        <w:gridCol w:w="1559"/>
      </w:tblGrid>
      <w:tr w:rsidR="002A2254" w:rsidRPr="00EF5C90" w:rsidTr="00235A62">
        <w:trPr>
          <w:trHeight w:val="280"/>
        </w:trPr>
        <w:tc>
          <w:tcPr>
            <w:tcW w:w="2400"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spacing w:line="259" w:lineRule="auto"/>
              <w:ind w:right="87"/>
              <w:rPr>
                <w:rFonts w:cstheme="minorHAnsi"/>
              </w:rPr>
            </w:pPr>
            <w:r w:rsidRPr="00EF5C90">
              <w:rPr>
                <w:rFonts w:eastAsia="Tahoma" w:cstheme="minorHAnsi"/>
              </w:rPr>
              <w:t>YILLAR</w:t>
            </w:r>
          </w:p>
        </w:tc>
        <w:tc>
          <w:tcPr>
            <w:tcW w:w="1276"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spacing w:line="259" w:lineRule="auto"/>
              <w:ind w:right="80"/>
              <w:jc w:val="center"/>
              <w:rPr>
                <w:rFonts w:cstheme="minorHAnsi"/>
              </w:rPr>
            </w:pPr>
            <w:r w:rsidRPr="00EF5C90">
              <w:rPr>
                <w:rFonts w:cstheme="minorHAnsi"/>
              </w:rPr>
              <w:t>TARLA BİT.</w:t>
            </w:r>
          </w:p>
        </w:tc>
        <w:tc>
          <w:tcPr>
            <w:tcW w:w="1134"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spacing w:line="259" w:lineRule="auto"/>
              <w:ind w:right="71"/>
              <w:jc w:val="center"/>
              <w:rPr>
                <w:rFonts w:cstheme="minorHAnsi"/>
              </w:rPr>
            </w:pPr>
            <w:r w:rsidRPr="00EF5C90">
              <w:rPr>
                <w:rFonts w:eastAsia="Tahoma" w:cstheme="minorHAnsi"/>
              </w:rPr>
              <w:t>SEBZE</w:t>
            </w:r>
          </w:p>
        </w:tc>
        <w:tc>
          <w:tcPr>
            <w:tcW w:w="1559"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spacing w:line="259" w:lineRule="auto"/>
              <w:rPr>
                <w:rFonts w:cstheme="minorHAnsi"/>
              </w:rPr>
            </w:pPr>
            <w:r w:rsidRPr="00EF5C90">
              <w:rPr>
                <w:rFonts w:eastAsia="Tahoma" w:cstheme="minorHAnsi"/>
              </w:rPr>
              <w:t>TOPLAM (US$)</w:t>
            </w:r>
          </w:p>
        </w:tc>
      </w:tr>
      <w:tr w:rsidR="002A2254" w:rsidRPr="00EF5C90" w:rsidTr="00235A62">
        <w:trPr>
          <w:trHeight w:val="280"/>
        </w:trPr>
        <w:tc>
          <w:tcPr>
            <w:tcW w:w="2400"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spacing w:line="259" w:lineRule="auto"/>
              <w:ind w:right="84"/>
              <w:rPr>
                <w:rFonts w:cstheme="minorHAnsi"/>
              </w:rPr>
            </w:pPr>
            <w:r w:rsidRPr="00EF5C90">
              <w:rPr>
                <w:rFonts w:eastAsia="Tahoma" w:cstheme="minorHAnsi"/>
              </w:rPr>
              <w:t>2019</w:t>
            </w:r>
          </w:p>
        </w:tc>
        <w:tc>
          <w:tcPr>
            <w:tcW w:w="1276"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spacing w:line="259" w:lineRule="auto"/>
              <w:ind w:right="75"/>
              <w:jc w:val="center"/>
              <w:rPr>
                <w:rFonts w:cstheme="minorHAnsi"/>
              </w:rPr>
            </w:pPr>
            <w:r w:rsidRPr="00EF5C90">
              <w:rPr>
                <w:rFonts w:eastAsia="Tahoma" w:cstheme="minorHAnsi"/>
              </w:rPr>
              <w:t>65</w:t>
            </w:r>
            <w:r>
              <w:rPr>
                <w:rFonts w:eastAsia="Tahoma" w:cstheme="minorHAnsi"/>
              </w:rPr>
              <w:t>,0</w:t>
            </w:r>
          </w:p>
        </w:tc>
        <w:tc>
          <w:tcPr>
            <w:tcW w:w="1134"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spacing w:line="259" w:lineRule="auto"/>
              <w:ind w:right="75"/>
              <w:jc w:val="center"/>
              <w:rPr>
                <w:rFonts w:cstheme="minorHAnsi"/>
              </w:rPr>
            </w:pPr>
            <w:r w:rsidRPr="00EF5C90">
              <w:rPr>
                <w:rFonts w:eastAsia="Tahoma" w:cstheme="minorHAnsi"/>
              </w:rPr>
              <w:t>5,5</w:t>
            </w:r>
          </w:p>
        </w:tc>
        <w:tc>
          <w:tcPr>
            <w:tcW w:w="1559"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spacing w:line="259" w:lineRule="auto"/>
              <w:ind w:right="74"/>
              <w:jc w:val="center"/>
              <w:rPr>
                <w:rFonts w:cstheme="minorHAnsi"/>
              </w:rPr>
            </w:pPr>
            <w:r w:rsidRPr="00EF5C90">
              <w:rPr>
                <w:rFonts w:eastAsia="Tahoma" w:cstheme="minorHAnsi"/>
              </w:rPr>
              <w:t>70,5</w:t>
            </w:r>
          </w:p>
        </w:tc>
      </w:tr>
      <w:tr w:rsidR="002A2254" w:rsidRPr="00EF5C90" w:rsidTr="00235A62">
        <w:trPr>
          <w:trHeight w:val="280"/>
        </w:trPr>
        <w:tc>
          <w:tcPr>
            <w:tcW w:w="2400"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spacing w:line="259" w:lineRule="auto"/>
              <w:ind w:right="84"/>
              <w:rPr>
                <w:rFonts w:cstheme="minorHAnsi"/>
              </w:rPr>
            </w:pPr>
            <w:r w:rsidRPr="00EF5C90">
              <w:rPr>
                <w:rFonts w:eastAsia="Tahoma" w:cstheme="minorHAnsi"/>
              </w:rPr>
              <w:t>2020</w:t>
            </w:r>
          </w:p>
        </w:tc>
        <w:tc>
          <w:tcPr>
            <w:tcW w:w="1276"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spacing w:line="259" w:lineRule="auto"/>
              <w:ind w:right="85"/>
              <w:jc w:val="center"/>
              <w:rPr>
                <w:rFonts w:cstheme="minorHAnsi"/>
              </w:rPr>
            </w:pPr>
            <w:r w:rsidRPr="00EF5C90">
              <w:rPr>
                <w:rFonts w:eastAsia="Tahoma" w:cstheme="minorHAnsi"/>
              </w:rPr>
              <w:t>64,5</w:t>
            </w:r>
          </w:p>
        </w:tc>
        <w:tc>
          <w:tcPr>
            <w:tcW w:w="1134"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spacing w:line="259" w:lineRule="auto"/>
              <w:ind w:right="75"/>
              <w:jc w:val="center"/>
              <w:rPr>
                <w:rFonts w:cstheme="minorHAnsi"/>
              </w:rPr>
            </w:pPr>
            <w:r w:rsidRPr="00EF5C90">
              <w:rPr>
                <w:rFonts w:eastAsia="Tahoma" w:cstheme="minorHAnsi"/>
              </w:rPr>
              <w:t>5,5</w:t>
            </w:r>
          </w:p>
        </w:tc>
        <w:tc>
          <w:tcPr>
            <w:tcW w:w="1559"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spacing w:line="259" w:lineRule="auto"/>
              <w:ind w:right="83"/>
              <w:jc w:val="center"/>
              <w:rPr>
                <w:rFonts w:cstheme="minorHAnsi"/>
              </w:rPr>
            </w:pPr>
            <w:r w:rsidRPr="00EF5C90">
              <w:rPr>
                <w:rFonts w:eastAsia="Tahoma" w:cstheme="minorHAnsi"/>
              </w:rPr>
              <w:t>70</w:t>
            </w:r>
            <w:r>
              <w:rPr>
                <w:rFonts w:eastAsia="Tahoma" w:cstheme="minorHAnsi"/>
              </w:rPr>
              <w:t>,0</w:t>
            </w:r>
          </w:p>
        </w:tc>
      </w:tr>
      <w:tr w:rsidR="002A2254" w:rsidRPr="00EF5C90" w:rsidTr="00235A62">
        <w:trPr>
          <w:trHeight w:val="281"/>
        </w:trPr>
        <w:tc>
          <w:tcPr>
            <w:tcW w:w="2400"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spacing w:line="259" w:lineRule="auto"/>
              <w:ind w:right="84"/>
              <w:rPr>
                <w:rFonts w:cstheme="minorHAnsi"/>
              </w:rPr>
            </w:pPr>
            <w:r w:rsidRPr="00EF5C90">
              <w:rPr>
                <w:rFonts w:eastAsia="Tahoma" w:cstheme="minorHAnsi"/>
              </w:rPr>
              <w:t>2021</w:t>
            </w:r>
          </w:p>
        </w:tc>
        <w:tc>
          <w:tcPr>
            <w:tcW w:w="1276"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spacing w:line="259" w:lineRule="auto"/>
              <w:ind w:right="85"/>
              <w:jc w:val="center"/>
              <w:rPr>
                <w:rFonts w:cstheme="minorHAnsi"/>
              </w:rPr>
            </w:pPr>
            <w:r w:rsidRPr="00EF5C90">
              <w:rPr>
                <w:rFonts w:eastAsia="Tahoma" w:cstheme="minorHAnsi"/>
              </w:rPr>
              <w:t>67,4</w:t>
            </w:r>
          </w:p>
        </w:tc>
        <w:tc>
          <w:tcPr>
            <w:tcW w:w="1134"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spacing w:line="259" w:lineRule="auto"/>
              <w:ind w:right="75"/>
              <w:jc w:val="center"/>
              <w:rPr>
                <w:rFonts w:cstheme="minorHAnsi"/>
              </w:rPr>
            </w:pPr>
            <w:r w:rsidRPr="00EF5C90">
              <w:rPr>
                <w:rFonts w:eastAsia="Tahoma" w:cstheme="minorHAnsi"/>
              </w:rPr>
              <w:t>5,7</w:t>
            </w:r>
          </w:p>
        </w:tc>
        <w:tc>
          <w:tcPr>
            <w:tcW w:w="1559"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spacing w:line="259" w:lineRule="auto"/>
              <w:ind w:right="74"/>
              <w:jc w:val="center"/>
              <w:rPr>
                <w:rFonts w:cstheme="minorHAnsi"/>
              </w:rPr>
            </w:pPr>
            <w:r w:rsidRPr="00EF5C90">
              <w:rPr>
                <w:rFonts w:eastAsia="Tahoma" w:cstheme="minorHAnsi"/>
              </w:rPr>
              <w:t>73,1</w:t>
            </w:r>
          </w:p>
        </w:tc>
      </w:tr>
    </w:tbl>
    <w:p w:rsidR="002A2254" w:rsidRDefault="002A2254" w:rsidP="002A2254">
      <w:pPr>
        <w:spacing w:after="0" w:line="240" w:lineRule="auto"/>
        <w:ind w:left="-6" w:right="11"/>
      </w:pPr>
    </w:p>
    <w:p w:rsidR="002A2254" w:rsidRDefault="002A2254" w:rsidP="002A2254">
      <w:pPr>
        <w:ind w:left="-5" w:right="14"/>
      </w:pPr>
      <w:r>
        <w:t xml:space="preserve">Dünya Tohumculuğunun toplam değeri </w:t>
      </w:r>
      <w:r w:rsidRPr="00EF5C90">
        <w:rPr>
          <w:b/>
          <w:bCs/>
        </w:rPr>
        <w:t>73</w:t>
      </w:r>
      <w:r>
        <w:rPr>
          <w:b/>
          <w:bCs/>
        </w:rPr>
        <w:t>,1</w:t>
      </w:r>
      <w:r w:rsidRPr="00EF5C90">
        <w:rPr>
          <w:b/>
          <w:bCs/>
        </w:rPr>
        <w:t xml:space="preserve"> Milyar Amerikan Doları</w:t>
      </w:r>
      <w:r>
        <w:t xml:space="preserve"> seviyesine ulaşmıştır. Bu pazarın %37’si Asya Pasifik ülkelerinde ve sırasıyla %26’sı Kuzey Amerika, %18’i Avrupa, %15’i Güney Amerika ve %4’ü de Afrika ülkelerinde bulunmaktadır. </w:t>
      </w:r>
      <w:r>
        <w:rPr>
          <w:rFonts w:ascii="Tahoma" w:eastAsia="Tahoma" w:hAnsi="Tahoma" w:cs="Tahoma"/>
        </w:rPr>
        <w:t xml:space="preserve"> </w:t>
      </w:r>
    </w:p>
    <w:tbl>
      <w:tblPr>
        <w:tblStyle w:val="TableGrid"/>
        <w:tblW w:w="6369" w:type="dxa"/>
        <w:tblInd w:w="5" w:type="dxa"/>
        <w:tblCellMar>
          <w:top w:w="61" w:type="dxa"/>
          <w:left w:w="115" w:type="dxa"/>
          <w:right w:w="115" w:type="dxa"/>
        </w:tblCellMar>
        <w:tblLook w:val="04A0" w:firstRow="1" w:lastRow="0" w:firstColumn="1" w:lastColumn="0" w:noHBand="0" w:noVBand="1"/>
      </w:tblPr>
      <w:tblGrid>
        <w:gridCol w:w="2400"/>
        <w:gridCol w:w="1276"/>
        <w:gridCol w:w="2693"/>
      </w:tblGrid>
      <w:tr w:rsidR="002A2254" w:rsidRPr="00EF5C90" w:rsidTr="00235A62">
        <w:trPr>
          <w:trHeight w:val="300"/>
        </w:trPr>
        <w:tc>
          <w:tcPr>
            <w:tcW w:w="6369" w:type="dxa"/>
            <w:gridSpan w:val="3"/>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right="3"/>
              <w:rPr>
                <w:rFonts w:cstheme="minorHAnsi"/>
                <w:bCs/>
              </w:rPr>
            </w:pPr>
            <w:r w:rsidRPr="00EF5C90">
              <w:rPr>
                <w:rFonts w:eastAsia="Tahoma" w:cstheme="minorHAnsi"/>
                <w:bCs/>
              </w:rPr>
              <w:t xml:space="preserve">KÜRESEL TOHUMCULUK TOPLAM DEĞERİ </w:t>
            </w:r>
            <w:r w:rsidRPr="00EF5C90">
              <w:rPr>
                <w:rFonts w:eastAsia="Tahoma" w:cstheme="minorHAnsi"/>
                <w:b/>
                <w:color w:val="FF0000"/>
              </w:rPr>
              <w:t>73.1 MİLYAR US$</w:t>
            </w:r>
            <w:r w:rsidRPr="00EF5C90">
              <w:rPr>
                <w:rFonts w:eastAsia="Tahoma" w:cstheme="minorHAnsi"/>
                <w:bCs/>
                <w:color w:val="FF0000"/>
              </w:rPr>
              <w:t xml:space="preserve"> </w:t>
            </w:r>
          </w:p>
        </w:tc>
      </w:tr>
      <w:tr w:rsidR="002A2254" w:rsidRPr="00EF5C90" w:rsidTr="00235A62">
        <w:trPr>
          <w:trHeight w:val="101"/>
        </w:trPr>
        <w:tc>
          <w:tcPr>
            <w:tcW w:w="2400"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left="1"/>
              <w:rPr>
                <w:rFonts w:cstheme="minorHAnsi"/>
              </w:rPr>
            </w:pPr>
            <w:r w:rsidRPr="00EF5C90">
              <w:rPr>
                <w:rFonts w:cstheme="minorHAnsi"/>
              </w:rPr>
              <w:t>ASYA PASİFİK</w:t>
            </w:r>
            <w:r w:rsidRPr="00EF5C90">
              <w:rPr>
                <w:rFonts w:eastAsia="Tahoma" w:cstheme="minorHAnsi"/>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left="2"/>
              <w:jc w:val="center"/>
              <w:rPr>
                <w:rFonts w:cstheme="minorHAnsi"/>
              </w:rPr>
            </w:pPr>
            <w:r w:rsidRPr="00EF5C90">
              <w:rPr>
                <w:rFonts w:cstheme="minorHAnsi"/>
              </w:rPr>
              <w:t>26,7</w:t>
            </w:r>
            <w:r w:rsidRPr="00EF5C90">
              <w:rPr>
                <w:rFonts w:eastAsia="Tahoma" w:cstheme="minorHAnsi"/>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left="2"/>
              <w:jc w:val="center"/>
              <w:rPr>
                <w:rFonts w:cstheme="minorHAnsi"/>
              </w:rPr>
            </w:pPr>
            <w:proofErr w:type="gramStart"/>
            <w:r w:rsidRPr="00EF5C90">
              <w:rPr>
                <w:rFonts w:cstheme="minorHAnsi"/>
              </w:rPr>
              <w:t>% 37</w:t>
            </w:r>
            <w:proofErr w:type="gramEnd"/>
            <w:r w:rsidRPr="00EF5C90">
              <w:rPr>
                <w:rFonts w:eastAsia="Tahoma" w:cstheme="minorHAnsi"/>
              </w:rPr>
              <w:t xml:space="preserve"> </w:t>
            </w:r>
          </w:p>
        </w:tc>
      </w:tr>
      <w:tr w:rsidR="002A2254" w:rsidRPr="00EF5C90" w:rsidTr="00235A62">
        <w:trPr>
          <w:trHeight w:val="50"/>
        </w:trPr>
        <w:tc>
          <w:tcPr>
            <w:tcW w:w="2400"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rPr>
                <w:rFonts w:cstheme="minorHAnsi"/>
              </w:rPr>
            </w:pPr>
            <w:r w:rsidRPr="00EF5C90">
              <w:rPr>
                <w:rFonts w:cstheme="minorHAnsi"/>
              </w:rPr>
              <w:t>KUZEY AMERİKA</w:t>
            </w:r>
            <w:r w:rsidRPr="00EF5C90">
              <w:rPr>
                <w:rFonts w:eastAsia="Tahoma" w:cstheme="minorHAnsi"/>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left="2"/>
              <w:jc w:val="center"/>
              <w:rPr>
                <w:rFonts w:cstheme="minorHAnsi"/>
              </w:rPr>
            </w:pPr>
            <w:r w:rsidRPr="00EF5C90">
              <w:rPr>
                <w:rFonts w:cstheme="minorHAnsi"/>
              </w:rPr>
              <w:t>18,7</w:t>
            </w:r>
            <w:r w:rsidRPr="00EF5C90">
              <w:rPr>
                <w:rFonts w:eastAsia="Tahoma" w:cstheme="minorHAnsi"/>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left="2"/>
              <w:jc w:val="center"/>
              <w:rPr>
                <w:rFonts w:cstheme="minorHAnsi"/>
              </w:rPr>
            </w:pPr>
            <w:proofErr w:type="gramStart"/>
            <w:r w:rsidRPr="00EF5C90">
              <w:rPr>
                <w:rFonts w:cstheme="minorHAnsi"/>
              </w:rPr>
              <w:t>% 26</w:t>
            </w:r>
            <w:proofErr w:type="gramEnd"/>
            <w:r w:rsidRPr="00EF5C90">
              <w:rPr>
                <w:rFonts w:eastAsia="Tahoma" w:cstheme="minorHAnsi"/>
              </w:rPr>
              <w:t xml:space="preserve"> </w:t>
            </w:r>
          </w:p>
        </w:tc>
      </w:tr>
      <w:tr w:rsidR="002A2254" w:rsidRPr="00EF5C90" w:rsidTr="00235A62">
        <w:trPr>
          <w:trHeight w:val="125"/>
        </w:trPr>
        <w:tc>
          <w:tcPr>
            <w:tcW w:w="2400"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left="7"/>
              <w:rPr>
                <w:rFonts w:cstheme="minorHAnsi"/>
              </w:rPr>
            </w:pPr>
            <w:r w:rsidRPr="00EF5C90">
              <w:rPr>
                <w:rFonts w:cstheme="minorHAnsi"/>
              </w:rPr>
              <w:t>AVRUPA</w:t>
            </w:r>
            <w:r w:rsidRPr="00EF5C90">
              <w:rPr>
                <w:rFonts w:eastAsia="Tahoma" w:cstheme="minorHAnsi"/>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left="2"/>
              <w:jc w:val="center"/>
              <w:rPr>
                <w:rFonts w:cstheme="minorHAnsi"/>
              </w:rPr>
            </w:pPr>
            <w:r w:rsidRPr="00EF5C90">
              <w:rPr>
                <w:rFonts w:cstheme="minorHAnsi"/>
              </w:rPr>
              <w:t>13,6</w:t>
            </w:r>
            <w:r w:rsidRPr="00EF5C90">
              <w:rPr>
                <w:rFonts w:eastAsia="Tahoma" w:cstheme="minorHAnsi"/>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left="2"/>
              <w:jc w:val="center"/>
              <w:rPr>
                <w:rFonts w:cstheme="minorHAnsi"/>
              </w:rPr>
            </w:pPr>
            <w:proofErr w:type="gramStart"/>
            <w:r w:rsidRPr="00EF5C90">
              <w:rPr>
                <w:rFonts w:cstheme="minorHAnsi"/>
              </w:rPr>
              <w:t>% 18</w:t>
            </w:r>
            <w:proofErr w:type="gramEnd"/>
            <w:r w:rsidRPr="00EF5C90">
              <w:rPr>
                <w:rFonts w:eastAsia="Tahoma" w:cstheme="minorHAnsi"/>
              </w:rPr>
              <w:t xml:space="preserve"> </w:t>
            </w:r>
          </w:p>
        </w:tc>
      </w:tr>
      <w:tr w:rsidR="002A2254" w:rsidRPr="00EF5C90" w:rsidTr="00235A62">
        <w:trPr>
          <w:trHeight w:val="24"/>
        </w:trPr>
        <w:tc>
          <w:tcPr>
            <w:tcW w:w="2400"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left="2"/>
              <w:rPr>
                <w:rFonts w:cstheme="minorHAnsi"/>
              </w:rPr>
            </w:pPr>
            <w:r w:rsidRPr="00EF5C90">
              <w:rPr>
                <w:rFonts w:cstheme="minorHAnsi"/>
              </w:rPr>
              <w:t>GÜNEY AMERİKA</w:t>
            </w:r>
            <w:r w:rsidRPr="00EF5C90">
              <w:rPr>
                <w:rFonts w:eastAsia="Tahoma" w:cstheme="minorHAnsi"/>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right="1"/>
              <w:jc w:val="center"/>
              <w:rPr>
                <w:rFonts w:cstheme="minorHAnsi"/>
              </w:rPr>
            </w:pPr>
            <w:r w:rsidRPr="00EF5C90">
              <w:rPr>
                <w:rFonts w:cstheme="minorHAnsi"/>
              </w:rPr>
              <w:t>11</w:t>
            </w:r>
            <w:r w:rsidRPr="00EF5C90">
              <w:rPr>
                <w:rFonts w:eastAsia="Tahoma" w:cstheme="minorHAnsi"/>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left="2"/>
              <w:jc w:val="center"/>
              <w:rPr>
                <w:rFonts w:cstheme="minorHAnsi"/>
              </w:rPr>
            </w:pPr>
            <w:proofErr w:type="gramStart"/>
            <w:r w:rsidRPr="00EF5C90">
              <w:rPr>
                <w:rFonts w:cstheme="minorHAnsi"/>
              </w:rPr>
              <w:t>% 15</w:t>
            </w:r>
            <w:proofErr w:type="gramEnd"/>
            <w:r w:rsidRPr="00EF5C90">
              <w:rPr>
                <w:rFonts w:eastAsia="Tahoma" w:cstheme="minorHAnsi"/>
              </w:rPr>
              <w:t xml:space="preserve"> </w:t>
            </w:r>
          </w:p>
        </w:tc>
      </w:tr>
      <w:tr w:rsidR="002A2254" w:rsidRPr="00EF5C90" w:rsidTr="00235A62">
        <w:trPr>
          <w:trHeight w:val="24"/>
        </w:trPr>
        <w:tc>
          <w:tcPr>
            <w:tcW w:w="2400"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left="4"/>
              <w:rPr>
                <w:rFonts w:cstheme="minorHAnsi"/>
              </w:rPr>
            </w:pPr>
            <w:r w:rsidRPr="00EF5C90">
              <w:rPr>
                <w:rFonts w:cstheme="minorHAnsi"/>
              </w:rPr>
              <w:t>AFRİKA</w:t>
            </w:r>
            <w:r w:rsidRPr="00EF5C90">
              <w:rPr>
                <w:rFonts w:eastAsia="Tahoma" w:cstheme="minorHAnsi"/>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jc w:val="center"/>
              <w:rPr>
                <w:rFonts w:cstheme="minorHAnsi"/>
              </w:rPr>
            </w:pPr>
            <w:r w:rsidRPr="00EF5C90">
              <w:rPr>
                <w:rFonts w:cstheme="minorHAnsi"/>
              </w:rPr>
              <w:t>3,1</w:t>
            </w:r>
            <w:r w:rsidRPr="00EF5C90">
              <w:rPr>
                <w:rFonts w:eastAsia="Tahoma" w:cstheme="minorHAnsi"/>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left="2"/>
              <w:jc w:val="center"/>
              <w:rPr>
                <w:rFonts w:cstheme="minorHAnsi"/>
              </w:rPr>
            </w:pPr>
            <w:proofErr w:type="gramStart"/>
            <w:r w:rsidRPr="00EF5C90">
              <w:rPr>
                <w:rFonts w:cstheme="minorHAnsi"/>
              </w:rPr>
              <w:t>% 4</w:t>
            </w:r>
            <w:proofErr w:type="gramEnd"/>
            <w:r w:rsidRPr="00EF5C90">
              <w:rPr>
                <w:rFonts w:eastAsia="Tahoma" w:cstheme="minorHAnsi"/>
              </w:rPr>
              <w:t xml:space="preserve"> </w:t>
            </w:r>
          </w:p>
        </w:tc>
      </w:tr>
    </w:tbl>
    <w:p w:rsidR="002A2254" w:rsidRDefault="002A2254" w:rsidP="002A2254">
      <w:pPr>
        <w:spacing w:after="0" w:line="240" w:lineRule="auto"/>
        <w:rPr>
          <w:rFonts w:cstheme="minorHAnsi"/>
        </w:rPr>
      </w:pPr>
    </w:p>
    <w:p w:rsidR="002A2254" w:rsidRDefault="002A2254" w:rsidP="002A2254">
      <w:pPr>
        <w:spacing w:after="0" w:line="240" w:lineRule="auto"/>
      </w:pPr>
      <w:r>
        <w:t xml:space="preserve">Toplam tohumculuk faaliyetinin yaklaşık </w:t>
      </w:r>
      <w:r w:rsidRPr="00EF5C90">
        <w:rPr>
          <w:b/>
          <w:bCs/>
        </w:rPr>
        <w:t>%6’sı</w:t>
      </w:r>
      <w:r>
        <w:t xml:space="preserve"> sebze türlerinden gelmektedir. Domates tüm sebze tohum pazarının </w:t>
      </w:r>
      <w:r w:rsidRPr="00EF5C90">
        <w:rPr>
          <w:b/>
          <w:bCs/>
        </w:rPr>
        <w:t>%45’ine</w:t>
      </w:r>
      <w:r>
        <w:t xml:space="preserve"> sahip olup, ardından </w:t>
      </w:r>
      <w:r w:rsidRPr="00EF5C90">
        <w:rPr>
          <w:b/>
          <w:bCs/>
        </w:rPr>
        <w:t>%32</w:t>
      </w:r>
      <w:r>
        <w:t xml:space="preserve"> ile Soğan gelmektedir.</w:t>
      </w:r>
    </w:p>
    <w:tbl>
      <w:tblPr>
        <w:tblStyle w:val="TableGrid"/>
        <w:tblW w:w="6368" w:type="dxa"/>
        <w:tblInd w:w="6" w:type="dxa"/>
        <w:tblCellMar>
          <w:top w:w="53" w:type="dxa"/>
          <w:left w:w="115" w:type="dxa"/>
          <w:right w:w="115" w:type="dxa"/>
        </w:tblCellMar>
        <w:tblLook w:val="04A0" w:firstRow="1" w:lastRow="0" w:firstColumn="1" w:lastColumn="0" w:noHBand="0" w:noVBand="1"/>
      </w:tblPr>
      <w:tblGrid>
        <w:gridCol w:w="2399"/>
        <w:gridCol w:w="1276"/>
        <w:gridCol w:w="2693"/>
      </w:tblGrid>
      <w:tr w:rsidR="002A2254" w:rsidRPr="00EF5C90" w:rsidTr="00235A62">
        <w:trPr>
          <w:trHeight w:val="263"/>
        </w:trPr>
        <w:tc>
          <w:tcPr>
            <w:tcW w:w="6368" w:type="dxa"/>
            <w:gridSpan w:val="3"/>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right="6"/>
              <w:rPr>
                <w:rFonts w:cstheme="minorHAnsi"/>
                <w:bCs/>
              </w:rPr>
            </w:pPr>
            <w:r w:rsidRPr="00EF5C90">
              <w:rPr>
                <w:rFonts w:eastAsia="Tahoma" w:cstheme="minorHAnsi"/>
                <w:bCs/>
              </w:rPr>
              <w:t xml:space="preserve">EN ÖNEMLİ 5 SEBZE TÜRÜNE AİT </w:t>
            </w:r>
            <w:r>
              <w:rPr>
                <w:rFonts w:eastAsia="Tahoma" w:cstheme="minorHAnsi"/>
                <w:bCs/>
              </w:rPr>
              <w:t>TOPLAM</w:t>
            </w:r>
            <w:r w:rsidRPr="00EF5C90">
              <w:rPr>
                <w:rFonts w:eastAsia="Tahoma" w:cstheme="minorHAnsi"/>
                <w:bCs/>
              </w:rPr>
              <w:t xml:space="preserve"> DEĞER </w:t>
            </w:r>
            <w:r w:rsidRPr="00EF5C90">
              <w:rPr>
                <w:rFonts w:eastAsia="Tahoma" w:cstheme="minorHAnsi"/>
                <w:b/>
                <w:color w:val="FF0000"/>
              </w:rPr>
              <w:t>4</w:t>
            </w:r>
            <w:r>
              <w:rPr>
                <w:rFonts w:eastAsia="Tahoma" w:cstheme="minorHAnsi"/>
                <w:b/>
                <w:color w:val="FF0000"/>
              </w:rPr>
              <w:t>,</w:t>
            </w:r>
            <w:r w:rsidRPr="00EF5C90">
              <w:rPr>
                <w:rFonts w:eastAsia="Tahoma" w:cstheme="minorHAnsi"/>
                <w:b/>
                <w:color w:val="FF0000"/>
              </w:rPr>
              <w:t>6 MİLYAR US$</w:t>
            </w:r>
          </w:p>
        </w:tc>
      </w:tr>
      <w:tr w:rsidR="002A2254" w:rsidRPr="00EF5C90" w:rsidTr="00235A62">
        <w:trPr>
          <w:trHeight w:val="264"/>
        </w:trPr>
        <w:tc>
          <w:tcPr>
            <w:tcW w:w="2399"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left="12"/>
              <w:rPr>
                <w:rFonts w:cstheme="minorHAnsi"/>
              </w:rPr>
            </w:pPr>
            <w:r w:rsidRPr="00EF5C90">
              <w:rPr>
                <w:rFonts w:eastAsia="Tahoma" w:cstheme="minorHAnsi"/>
              </w:rPr>
              <w:t>DOMATES</w:t>
            </w:r>
          </w:p>
        </w:tc>
        <w:tc>
          <w:tcPr>
            <w:tcW w:w="1276"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jc w:val="center"/>
              <w:rPr>
                <w:rFonts w:cstheme="minorHAnsi"/>
              </w:rPr>
            </w:pPr>
            <w:r w:rsidRPr="00EF5C90">
              <w:rPr>
                <w:rFonts w:eastAsia="Tahoma" w:cstheme="minorHAnsi"/>
              </w:rPr>
              <w:t>2,1</w:t>
            </w:r>
          </w:p>
        </w:tc>
        <w:tc>
          <w:tcPr>
            <w:tcW w:w="2693"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left="9"/>
              <w:jc w:val="center"/>
              <w:rPr>
                <w:rFonts w:cstheme="minorHAnsi"/>
              </w:rPr>
            </w:pPr>
            <w:proofErr w:type="gramStart"/>
            <w:r w:rsidRPr="00EF5C90">
              <w:rPr>
                <w:rFonts w:eastAsia="Tahoma" w:cstheme="minorHAnsi"/>
              </w:rPr>
              <w:t>% 45</w:t>
            </w:r>
            <w:proofErr w:type="gramEnd"/>
          </w:p>
        </w:tc>
      </w:tr>
      <w:tr w:rsidR="002A2254" w:rsidRPr="00EF5C90" w:rsidTr="00235A62">
        <w:trPr>
          <w:trHeight w:val="263"/>
        </w:trPr>
        <w:tc>
          <w:tcPr>
            <w:tcW w:w="2399"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right="3"/>
              <w:rPr>
                <w:rFonts w:cstheme="minorHAnsi"/>
              </w:rPr>
            </w:pPr>
            <w:r w:rsidRPr="00EF5C90">
              <w:rPr>
                <w:rFonts w:cstheme="minorHAnsi"/>
              </w:rPr>
              <w:t>SOĞAN</w:t>
            </w:r>
          </w:p>
        </w:tc>
        <w:tc>
          <w:tcPr>
            <w:tcW w:w="1276"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jc w:val="center"/>
              <w:rPr>
                <w:rFonts w:cstheme="minorHAnsi"/>
              </w:rPr>
            </w:pPr>
            <w:r w:rsidRPr="00EF5C90">
              <w:rPr>
                <w:rFonts w:eastAsia="Tahoma" w:cstheme="minorHAnsi"/>
              </w:rPr>
              <w:t>1,5</w:t>
            </w:r>
          </w:p>
        </w:tc>
        <w:tc>
          <w:tcPr>
            <w:tcW w:w="2693"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left="9"/>
              <w:jc w:val="center"/>
              <w:rPr>
                <w:rFonts w:cstheme="minorHAnsi"/>
              </w:rPr>
            </w:pPr>
            <w:proofErr w:type="gramStart"/>
            <w:r w:rsidRPr="00EF5C90">
              <w:rPr>
                <w:rFonts w:eastAsia="Tahoma" w:cstheme="minorHAnsi"/>
              </w:rPr>
              <w:t>% 32</w:t>
            </w:r>
            <w:proofErr w:type="gramEnd"/>
          </w:p>
        </w:tc>
      </w:tr>
      <w:tr w:rsidR="002A2254" w:rsidRPr="00EF5C90" w:rsidTr="00235A62">
        <w:trPr>
          <w:trHeight w:val="263"/>
        </w:trPr>
        <w:tc>
          <w:tcPr>
            <w:tcW w:w="2399"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left="1"/>
              <w:rPr>
                <w:rFonts w:cstheme="minorHAnsi"/>
              </w:rPr>
            </w:pPr>
            <w:r w:rsidRPr="00EF5C90">
              <w:rPr>
                <w:rFonts w:eastAsia="Tahoma" w:cstheme="minorHAnsi"/>
              </w:rPr>
              <w:t>TURP</w:t>
            </w:r>
          </w:p>
        </w:tc>
        <w:tc>
          <w:tcPr>
            <w:tcW w:w="1276"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jc w:val="center"/>
              <w:rPr>
                <w:rFonts w:cstheme="minorHAnsi"/>
              </w:rPr>
            </w:pPr>
            <w:r w:rsidRPr="00EF5C90">
              <w:rPr>
                <w:rFonts w:eastAsia="Tahoma" w:cstheme="minorHAnsi"/>
              </w:rPr>
              <w:t>0,4</w:t>
            </w:r>
          </w:p>
        </w:tc>
        <w:tc>
          <w:tcPr>
            <w:tcW w:w="2693"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left="9"/>
              <w:jc w:val="center"/>
              <w:rPr>
                <w:rFonts w:cstheme="minorHAnsi"/>
              </w:rPr>
            </w:pPr>
            <w:proofErr w:type="gramStart"/>
            <w:r w:rsidRPr="00EF5C90">
              <w:rPr>
                <w:rFonts w:eastAsia="Tahoma" w:cstheme="minorHAnsi"/>
              </w:rPr>
              <w:t>% 8</w:t>
            </w:r>
            <w:proofErr w:type="gramEnd"/>
          </w:p>
        </w:tc>
      </w:tr>
      <w:tr w:rsidR="002A2254" w:rsidRPr="00EF5C90" w:rsidTr="00235A62">
        <w:trPr>
          <w:trHeight w:val="264"/>
        </w:trPr>
        <w:tc>
          <w:tcPr>
            <w:tcW w:w="2399"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left="7"/>
              <w:rPr>
                <w:rFonts w:cstheme="minorHAnsi"/>
              </w:rPr>
            </w:pPr>
            <w:r w:rsidRPr="00EF5C90">
              <w:rPr>
                <w:rFonts w:cstheme="minorHAnsi"/>
              </w:rPr>
              <w:t>BİBER</w:t>
            </w:r>
          </w:p>
        </w:tc>
        <w:tc>
          <w:tcPr>
            <w:tcW w:w="1276"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jc w:val="center"/>
              <w:rPr>
                <w:rFonts w:cstheme="minorHAnsi"/>
              </w:rPr>
            </w:pPr>
            <w:r w:rsidRPr="00EF5C90">
              <w:rPr>
                <w:rFonts w:eastAsia="Tahoma" w:cstheme="minorHAnsi"/>
              </w:rPr>
              <w:t>0,3</w:t>
            </w:r>
          </w:p>
        </w:tc>
        <w:tc>
          <w:tcPr>
            <w:tcW w:w="2693"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left="9"/>
              <w:jc w:val="center"/>
              <w:rPr>
                <w:rFonts w:cstheme="minorHAnsi"/>
              </w:rPr>
            </w:pPr>
            <w:proofErr w:type="gramStart"/>
            <w:r w:rsidRPr="00EF5C90">
              <w:rPr>
                <w:rFonts w:eastAsia="Tahoma" w:cstheme="minorHAnsi"/>
              </w:rPr>
              <w:t>% 6</w:t>
            </w:r>
            <w:proofErr w:type="gramEnd"/>
          </w:p>
        </w:tc>
      </w:tr>
      <w:tr w:rsidR="002A2254" w:rsidRPr="00EF5C90" w:rsidTr="00235A62">
        <w:trPr>
          <w:trHeight w:val="264"/>
        </w:trPr>
        <w:tc>
          <w:tcPr>
            <w:tcW w:w="2399"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left="4"/>
              <w:rPr>
                <w:rFonts w:cstheme="minorHAnsi"/>
              </w:rPr>
            </w:pPr>
            <w:r w:rsidRPr="00EF5C90">
              <w:rPr>
                <w:rFonts w:eastAsia="Tahoma" w:cstheme="minorHAnsi"/>
              </w:rPr>
              <w:t>BEZELYE</w:t>
            </w:r>
          </w:p>
        </w:tc>
        <w:tc>
          <w:tcPr>
            <w:tcW w:w="1276"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jc w:val="center"/>
              <w:rPr>
                <w:rFonts w:cstheme="minorHAnsi"/>
              </w:rPr>
            </w:pPr>
            <w:r w:rsidRPr="00EF5C90">
              <w:rPr>
                <w:rFonts w:eastAsia="Tahoma" w:cstheme="minorHAnsi"/>
              </w:rPr>
              <w:t>0,3</w:t>
            </w:r>
          </w:p>
        </w:tc>
        <w:tc>
          <w:tcPr>
            <w:tcW w:w="2693" w:type="dxa"/>
            <w:tcBorders>
              <w:top w:val="single" w:sz="4" w:space="0" w:color="000000"/>
              <w:left w:val="single" w:sz="4" w:space="0" w:color="000000"/>
              <w:bottom w:val="single" w:sz="4" w:space="0" w:color="000000"/>
              <w:right w:val="single" w:sz="4" w:space="0" w:color="000000"/>
            </w:tcBorders>
          </w:tcPr>
          <w:p w:rsidR="002A2254" w:rsidRPr="00EF5C90" w:rsidRDefault="002A2254" w:rsidP="00235A62">
            <w:pPr>
              <w:ind w:left="9"/>
              <w:jc w:val="center"/>
              <w:rPr>
                <w:rFonts w:cstheme="minorHAnsi"/>
              </w:rPr>
            </w:pPr>
            <w:proofErr w:type="gramStart"/>
            <w:r w:rsidRPr="00EF5C90">
              <w:rPr>
                <w:rFonts w:eastAsia="Tahoma" w:cstheme="minorHAnsi"/>
              </w:rPr>
              <w:t>% 6</w:t>
            </w:r>
            <w:proofErr w:type="gramEnd"/>
          </w:p>
        </w:tc>
      </w:tr>
    </w:tbl>
    <w:p w:rsidR="002A2254" w:rsidRDefault="002A2254" w:rsidP="002A2254">
      <w:pPr>
        <w:spacing w:after="0" w:line="240" w:lineRule="auto"/>
        <w:rPr>
          <w:rFonts w:cstheme="minorHAnsi"/>
        </w:rPr>
      </w:pPr>
    </w:p>
    <w:tbl>
      <w:tblPr>
        <w:tblStyle w:val="TableGrid"/>
        <w:tblW w:w="6369" w:type="dxa"/>
        <w:tblInd w:w="5" w:type="dxa"/>
        <w:tblCellMar>
          <w:top w:w="58" w:type="dxa"/>
          <w:left w:w="115" w:type="dxa"/>
          <w:right w:w="115" w:type="dxa"/>
        </w:tblCellMar>
        <w:tblLook w:val="04A0" w:firstRow="1" w:lastRow="0" w:firstColumn="1" w:lastColumn="0" w:noHBand="0" w:noVBand="1"/>
      </w:tblPr>
      <w:tblGrid>
        <w:gridCol w:w="2400"/>
        <w:gridCol w:w="1276"/>
        <w:gridCol w:w="2693"/>
      </w:tblGrid>
      <w:tr w:rsidR="002A2254" w:rsidRPr="00B21846" w:rsidTr="00235A62">
        <w:trPr>
          <w:trHeight w:val="288"/>
        </w:trPr>
        <w:tc>
          <w:tcPr>
            <w:tcW w:w="6369" w:type="dxa"/>
            <w:gridSpan w:val="3"/>
            <w:tcBorders>
              <w:top w:val="single" w:sz="4" w:space="0" w:color="000000"/>
              <w:left w:val="single" w:sz="4" w:space="0" w:color="000000"/>
              <w:bottom w:val="single" w:sz="4" w:space="0" w:color="000000"/>
              <w:right w:val="single" w:sz="4" w:space="0" w:color="000000"/>
            </w:tcBorders>
          </w:tcPr>
          <w:p w:rsidR="002A2254" w:rsidRPr="00B21846" w:rsidRDefault="002A2254" w:rsidP="00235A62">
            <w:pPr>
              <w:spacing w:line="259" w:lineRule="auto"/>
              <w:ind w:right="14"/>
              <w:rPr>
                <w:rFonts w:eastAsia="Tahoma" w:cstheme="minorHAnsi"/>
                <w:bCs/>
              </w:rPr>
            </w:pPr>
            <w:r w:rsidRPr="00B21846">
              <w:rPr>
                <w:rFonts w:eastAsia="Tahoma" w:cstheme="minorHAnsi"/>
                <w:bCs/>
              </w:rPr>
              <w:t xml:space="preserve">EN ÖNEMLİ 5 TARLA BİTKİLERİ TOPLAM DEĞERİ  </w:t>
            </w:r>
            <w:r w:rsidRPr="00B21846">
              <w:rPr>
                <w:rFonts w:eastAsia="Tahoma" w:cstheme="minorHAnsi"/>
                <w:b/>
                <w:color w:val="FF0000"/>
              </w:rPr>
              <w:t>62</w:t>
            </w:r>
            <w:r>
              <w:rPr>
                <w:rFonts w:eastAsia="Tahoma" w:cstheme="minorHAnsi"/>
                <w:b/>
                <w:color w:val="FF0000"/>
              </w:rPr>
              <w:t>,0</w:t>
            </w:r>
            <w:r w:rsidRPr="00B21846">
              <w:rPr>
                <w:rFonts w:eastAsia="Tahoma" w:cstheme="minorHAnsi"/>
                <w:b/>
                <w:color w:val="FF0000"/>
              </w:rPr>
              <w:t xml:space="preserve"> MİLYAR US$</w:t>
            </w:r>
          </w:p>
        </w:tc>
      </w:tr>
      <w:tr w:rsidR="002A2254" w:rsidTr="00235A62">
        <w:trPr>
          <w:trHeight w:val="289"/>
        </w:trPr>
        <w:tc>
          <w:tcPr>
            <w:tcW w:w="2400" w:type="dxa"/>
            <w:tcBorders>
              <w:top w:val="single" w:sz="4" w:space="0" w:color="000000"/>
              <w:left w:val="single" w:sz="4" w:space="0" w:color="000000"/>
              <w:bottom w:val="single" w:sz="4" w:space="0" w:color="000000"/>
              <w:right w:val="single" w:sz="4" w:space="0" w:color="000000"/>
            </w:tcBorders>
          </w:tcPr>
          <w:p w:rsidR="002A2254" w:rsidRPr="00B21846" w:rsidRDefault="002A2254" w:rsidP="00235A62">
            <w:pPr>
              <w:ind w:left="12"/>
              <w:rPr>
                <w:rFonts w:eastAsia="Tahoma" w:cstheme="minorHAnsi"/>
              </w:rPr>
            </w:pPr>
            <w:r w:rsidRPr="00B21846">
              <w:rPr>
                <w:rFonts w:eastAsia="Tahoma" w:cstheme="minorHAnsi"/>
              </w:rPr>
              <w:t>MISIR</w:t>
            </w:r>
          </w:p>
        </w:tc>
        <w:tc>
          <w:tcPr>
            <w:tcW w:w="1276" w:type="dxa"/>
            <w:tcBorders>
              <w:top w:val="single" w:sz="4" w:space="0" w:color="000000"/>
              <w:left w:val="single" w:sz="4" w:space="0" w:color="000000"/>
              <w:bottom w:val="single" w:sz="4" w:space="0" w:color="000000"/>
              <w:right w:val="single" w:sz="4" w:space="0" w:color="000000"/>
            </w:tcBorders>
          </w:tcPr>
          <w:p w:rsidR="002A2254" w:rsidRPr="00B21846" w:rsidRDefault="002A2254" w:rsidP="00235A62">
            <w:pPr>
              <w:jc w:val="center"/>
              <w:rPr>
                <w:rFonts w:eastAsia="Tahoma" w:cstheme="minorHAnsi"/>
              </w:rPr>
            </w:pPr>
            <w:r w:rsidRPr="00B21846">
              <w:rPr>
                <w:rFonts w:eastAsia="Tahoma" w:cstheme="minorHAnsi"/>
              </w:rPr>
              <w:t>25,4</w:t>
            </w:r>
          </w:p>
        </w:tc>
        <w:tc>
          <w:tcPr>
            <w:tcW w:w="2693" w:type="dxa"/>
            <w:tcBorders>
              <w:top w:val="single" w:sz="4" w:space="0" w:color="000000"/>
              <w:left w:val="single" w:sz="4" w:space="0" w:color="000000"/>
              <w:bottom w:val="single" w:sz="4" w:space="0" w:color="000000"/>
              <w:right w:val="single" w:sz="4" w:space="0" w:color="000000"/>
            </w:tcBorders>
          </w:tcPr>
          <w:p w:rsidR="002A2254" w:rsidRPr="00B21846" w:rsidRDefault="002A2254" w:rsidP="00235A62">
            <w:pPr>
              <w:ind w:left="9"/>
              <w:jc w:val="center"/>
              <w:rPr>
                <w:rFonts w:eastAsia="Tahoma" w:cstheme="minorHAnsi"/>
              </w:rPr>
            </w:pPr>
            <w:proofErr w:type="gramStart"/>
            <w:r w:rsidRPr="00B21846">
              <w:rPr>
                <w:rFonts w:eastAsia="Tahoma" w:cstheme="minorHAnsi"/>
              </w:rPr>
              <w:t>% 41</w:t>
            </w:r>
            <w:proofErr w:type="gramEnd"/>
          </w:p>
        </w:tc>
      </w:tr>
      <w:tr w:rsidR="002A2254" w:rsidTr="00235A62">
        <w:trPr>
          <w:trHeight w:val="288"/>
        </w:trPr>
        <w:tc>
          <w:tcPr>
            <w:tcW w:w="2400" w:type="dxa"/>
            <w:tcBorders>
              <w:top w:val="single" w:sz="4" w:space="0" w:color="000000"/>
              <w:left w:val="single" w:sz="4" w:space="0" w:color="000000"/>
              <w:bottom w:val="single" w:sz="4" w:space="0" w:color="000000"/>
              <w:right w:val="single" w:sz="4" w:space="0" w:color="000000"/>
            </w:tcBorders>
          </w:tcPr>
          <w:p w:rsidR="002A2254" w:rsidRPr="00B21846" w:rsidRDefault="002A2254" w:rsidP="00235A62">
            <w:pPr>
              <w:ind w:left="12"/>
              <w:rPr>
                <w:rFonts w:eastAsia="Tahoma" w:cstheme="minorHAnsi"/>
              </w:rPr>
            </w:pPr>
            <w:r w:rsidRPr="00B21846">
              <w:rPr>
                <w:rFonts w:eastAsia="Tahoma" w:cstheme="minorHAnsi"/>
              </w:rPr>
              <w:t>BUĞDAY</w:t>
            </w:r>
          </w:p>
        </w:tc>
        <w:tc>
          <w:tcPr>
            <w:tcW w:w="1276" w:type="dxa"/>
            <w:tcBorders>
              <w:top w:val="single" w:sz="4" w:space="0" w:color="000000"/>
              <w:left w:val="single" w:sz="4" w:space="0" w:color="000000"/>
              <w:bottom w:val="single" w:sz="4" w:space="0" w:color="000000"/>
              <w:right w:val="single" w:sz="4" w:space="0" w:color="000000"/>
            </w:tcBorders>
          </w:tcPr>
          <w:p w:rsidR="002A2254" w:rsidRPr="00B21846" w:rsidRDefault="002A2254" w:rsidP="00235A62">
            <w:pPr>
              <w:jc w:val="center"/>
              <w:rPr>
                <w:rFonts w:eastAsia="Tahoma" w:cstheme="minorHAnsi"/>
              </w:rPr>
            </w:pPr>
            <w:r w:rsidRPr="00B21846">
              <w:rPr>
                <w:rFonts w:eastAsia="Tahoma" w:cstheme="minorHAnsi"/>
              </w:rPr>
              <w:t>14,5</w:t>
            </w:r>
          </w:p>
        </w:tc>
        <w:tc>
          <w:tcPr>
            <w:tcW w:w="2693" w:type="dxa"/>
            <w:tcBorders>
              <w:top w:val="single" w:sz="4" w:space="0" w:color="000000"/>
              <w:left w:val="single" w:sz="4" w:space="0" w:color="000000"/>
              <w:bottom w:val="single" w:sz="4" w:space="0" w:color="000000"/>
              <w:right w:val="single" w:sz="4" w:space="0" w:color="000000"/>
            </w:tcBorders>
          </w:tcPr>
          <w:p w:rsidR="002A2254" w:rsidRPr="00B21846" w:rsidRDefault="002A2254" w:rsidP="00235A62">
            <w:pPr>
              <w:ind w:left="9"/>
              <w:jc w:val="center"/>
              <w:rPr>
                <w:rFonts w:eastAsia="Tahoma" w:cstheme="minorHAnsi"/>
              </w:rPr>
            </w:pPr>
            <w:proofErr w:type="gramStart"/>
            <w:r w:rsidRPr="00B21846">
              <w:rPr>
                <w:rFonts w:eastAsia="Tahoma" w:cstheme="minorHAnsi"/>
              </w:rPr>
              <w:t>% 23</w:t>
            </w:r>
            <w:proofErr w:type="gramEnd"/>
          </w:p>
        </w:tc>
      </w:tr>
      <w:tr w:rsidR="002A2254" w:rsidTr="00235A62">
        <w:trPr>
          <w:trHeight w:val="288"/>
        </w:trPr>
        <w:tc>
          <w:tcPr>
            <w:tcW w:w="2400" w:type="dxa"/>
            <w:tcBorders>
              <w:top w:val="single" w:sz="4" w:space="0" w:color="000000"/>
              <w:left w:val="single" w:sz="4" w:space="0" w:color="000000"/>
              <w:bottom w:val="single" w:sz="4" w:space="0" w:color="000000"/>
              <w:right w:val="single" w:sz="4" w:space="0" w:color="000000"/>
            </w:tcBorders>
          </w:tcPr>
          <w:p w:rsidR="002A2254" w:rsidRPr="00B21846" w:rsidRDefault="002A2254" w:rsidP="00235A62">
            <w:pPr>
              <w:ind w:left="12"/>
              <w:rPr>
                <w:rFonts w:eastAsia="Tahoma" w:cstheme="minorHAnsi"/>
              </w:rPr>
            </w:pPr>
            <w:r w:rsidRPr="00B21846">
              <w:rPr>
                <w:rFonts w:eastAsia="Tahoma" w:cstheme="minorHAnsi"/>
              </w:rPr>
              <w:t>SOYA FASÜLYESİ</w:t>
            </w:r>
          </w:p>
        </w:tc>
        <w:tc>
          <w:tcPr>
            <w:tcW w:w="1276" w:type="dxa"/>
            <w:tcBorders>
              <w:top w:val="single" w:sz="4" w:space="0" w:color="000000"/>
              <w:left w:val="single" w:sz="4" w:space="0" w:color="000000"/>
              <w:bottom w:val="single" w:sz="4" w:space="0" w:color="000000"/>
              <w:right w:val="single" w:sz="4" w:space="0" w:color="000000"/>
            </w:tcBorders>
          </w:tcPr>
          <w:p w:rsidR="002A2254" w:rsidRPr="00B21846" w:rsidRDefault="002A2254" w:rsidP="00235A62">
            <w:pPr>
              <w:jc w:val="center"/>
              <w:rPr>
                <w:rFonts w:eastAsia="Tahoma" w:cstheme="minorHAnsi"/>
              </w:rPr>
            </w:pPr>
            <w:r w:rsidRPr="00B21846">
              <w:rPr>
                <w:rFonts w:eastAsia="Tahoma" w:cstheme="minorHAnsi"/>
              </w:rPr>
              <w:t>10,1</w:t>
            </w:r>
          </w:p>
        </w:tc>
        <w:tc>
          <w:tcPr>
            <w:tcW w:w="2693" w:type="dxa"/>
            <w:tcBorders>
              <w:top w:val="single" w:sz="4" w:space="0" w:color="000000"/>
              <w:left w:val="single" w:sz="4" w:space="0" w:color="000000"/>
              <w:bottom w:val="single" w:sz="4" w:space="0" w:color="000000"/>
              <w:right w:val="single" w:sz="4" w:space="0" w:color="000000"/>
            </w:tcBorders>
          </w:tcPr>
          <w:p w:rsidR="002A2254" w:rsidRPr="00B21846" w:rsidRDefault="002A2254" w:rsidP="00235A62">
            <w:pPr>
              <w:ind w:left="9"/>
              <w:jc w:val="center"/>
              <w:rPr>
                <w:rFonts w:eastAsia="Tahoma" w:cstheme="minorHAnsi"/>
              </w:rPr>
            </w:pPr>
            <w:proofErr w:type="gramStart"/>
            <w:r w:rsidRPr="00B21846">
              <w:rPr>
                <w:rFonts w:eastAsia="Tahoma" w:cstheme="minorHAnsi"/>
              </w:rPr>
              <w:t>% 16</w:t>
            </w:r>
            <w:proofErr w:type="gramEnd"/>
          </w:p>
        </w:tc>
      </w:tr>
      <w:tr w:rsidR="002A2254" w:rsidTr="00235A62">
        <w:trPr>
          <w:trHeight w:val="289"/>
        </w:trPr>
        <w:tc>
          <w:tcPr>
            <w:tcW w:w="2400" w:type="dxa"/>
            <w:tcBorders>
              <w:top w:val="single" w:sz="4" w:space="0" w:color="000000"/>
              <w:left w:val="single" w:sz="4" w:space="0" w:color="000000"/>
              <w:bottom w:val="single" w:sz="4" w:space="0" w:color="000000"/>
              <w:right w:val="single" w:sz="4" w:space="0" w:color="000000"/>
            </w:tcBorders>
          </w:tcPr>
          <w:p w:rsidR="002A2254" w:rsidRPr="00B21846" w:rsidRDefault="002A2254" w:rsidP="00235A62">
            <w:pPr>
              <w:ind w:left="12"/>
              <w:rPr>
                <w:rFonts w:eastAsia="Tahoma" w:cstheme="minorHAnsi"/>
              </w:rPr>
            </w:pPr>
            <w:r w:rsidRPr="00B21846">
              <w:rPr>
                <w:rFonts w:eastAsia="Tahoma" w:cstheme="minorHAnsi"/>
              </w:rPr>
              <w:t>PİRİNÇ</w:t>
            </w:r>
          </w:p>
        </w:tc>
        <w:tc>
          <w:tcPr>
            <w:tcW w:w="1276" w:type="dxa"/>
            <w:tcBorders>
              <w:top w:val="single" w:sz="4" w:space="0" w:color="000000"/>
              <w:left w:val="single" w:sz="4" w:space="0" w:color="000000"/>
              <w:bottom w:val="single" w:sz="4" w:space="0" w:color="000000"/>
              <w:right w:val="single" w:sz="4" w:space="0" w:color="000000"/>
            </w:tcBorders>
          </w:tcPr>
          <w:p w:rsidR="002A2254" w:rsidRPr="00B21846" w:rsidRDefault="002A2254" w:rsidP="00235A62">
            <w:pPr>
              <w:jc w:val="center"/>
              <w:rPr>
                <w:rFonts w:eastAsia="Tahoma" w:cstheme="minorHAnsi"/>
              </w:rPr>
            </w:pPr>
            <w:r w:rsidRPr="00B21846">
              <w:rPr>
                <w:rFonts w:eastAsia="Tahoma" w:cstheme="minorHAnsi"/>
              </w:rPr>
              <w:t>9,6</w:t>
            </w:r>
          </w:p>
        </w:tc>
        <w:tc>
          <w:tcPr>
            <w:tcW w:w="2693" w:type="dxa"/>
            <w:tcBorders>
              <w:top w:val="single" w:sz="4" w:space="0" w:color="000000"/>
              <w:left w:val="single" w:sz="4" w:space="0" w:color="000000"/>
              <w:bottom w:val="single" w:sz="4" w:space="0" w:color="000000"/>
              <w:right w:val="single" w:sz="4" w:space="0" w:color="000000"/>
            </w:tcBorders>
          </w:tcPr>
          <w:p w:rsidR="002A2254" w:rsidRPr="00B21846" w:rsidRDefault="002A2254" w:rsidP="00235A62">
            <w:pPr>
              <w:ind w:left="9"/>
              <w:jc w:val="center"/>
              <w:rPr>
                <w:rFonts w:eastAsia="Tahoma" w:cstheme="minorHAnsi"/>
              </w:rPr>
            </w:pPr>
            <w:proofErr w:type="gramStart"/>
            <w:r w:rsidRPr="00B21846">
              <w:rPr>
                <w:rFonts w:eastAsia="Tahoma" w:cstheme="minorHAnsi"/>
              </w:rPr>
              <w:t>% 15</w:t>
            </w:r>
            <w:proofErr w:type="gramEnd"/>
          </w:p>
        </w:tc>
      </w:tr>
      <w:tr w:rsidR="002A2254" w:rsidTr="00235A62">
        <w:trPr>
          <w:trHeight w:val="289"/>
        </w:trPr>
        <w:tc>
          <w:tcPr>
            <w:tcW w:w="2400" w:type="dxa"/>
            <w:tcBorders>
              <w:top w:val="single" w:sz="4" w:space="0" w:color="000000"/>
              <w:left w:val="single" w:sz="4" w:space="0" w:color="000000"/>
              <w:bottom w:val="single" w:sz="4" w:space="0" w:color="000000"/>
              <w:right w:val="single" w:sz="4" w:space="0" w:color="000000"/>
            </w:tcBorders>
          </w:tcPr>
          <w:p w:rsidR="002A2254" w:rsidRPr="00B21846" w:rsidRDefault="002A2254" w:rsidP="00235A62">
            <w:pPr>
              <w:ind w:left="12"/>
              <w:rPr>
                <w:rFonts w:eastAsia="Tahoma" w:cstheme="minorHAnsi"/>
              </w:rPr>
            </w:pPr>
            <w:r w:rsidRPr="00B21846">
              <w:rPr>
                <w:rFonts w:eastAsia="Tahoma" w:cstheme="minorHAnsi"/>
              </w:rPr>
              <w:t>PAMUK</w:t>
            </w:r>
          </w:p>
        </w:tc>
        <w:tc>
          <w:tcPr>
            <w:tcW w:w="1276" w:type="dxa"/>
            <w:tcBorders>
              <w:top w:val="single" w:sz="4" w:space="0" w:color="000000"/>
              <w:left w:val="single" w:sz="4" w:space="0" w:color="000000"/>
              <w:bottom w:val="single" w:sz="4" w:space="0" w:color="000000"/>
              <w:right w:val="single" w:sz="4" w:space="0" w:color="000000"/>
            </w:tcBorders>
          </w:tcPr>
          <w:p w:rsidR="002A2254" w:rsidRPr="00B21846" w:rsidRDefault="002A2254" w:rsidP="00235A62">
            <w:pPr>
              <w:jc w:val="center"/>
              <w:rPr>
                <w:rFonts w:eastAsia="Tahoma" w:cstheme="minorHAnsi"/>
              </w:rPr>
            </w:pPr>
            <w:r w:rsidRPr="00B21846">
              <w:rPr>
                <w:rFonts w:eastAsia="Tahoma" w:cstheme="minorHAnsi"/>
              </w:rPr>
              <w:t>2,4</w:t>
            </w:r>
          </w:p>
        </w:tc>
        <w:tc>
          <w:tcPr>
            <w:tcW w:w="2693" w:type="dxa"/>
            <w:tcBorders>
              <w:top w:val="single" w:sz="4" w:space="0" w:color="000000"/>
              <w:left w:val="single" w:sz="4" w:space="0" w:color="000000"/>
              <w:bottom w:val="single" w:sz="4" w:space="0" w:color="000000"/>
              <w:right w:val="single" w:sz="4" w:space="0" w:color="000000"/>
            </w:tcBorders>
          </w:tcPr>
          <w:p w:rsidR="002A2254" w:rsidRPr="00B21846" w:rsidRDefault="002A2254" w:rsidP="00235A62">
            <w:pPr>
              <w:ind w:left="9"/>
              <w:jc w:val="center"/>
              <w:rPr>
                <w:rFonts w:eastAsia="Tahoma" w:cstheme="minorHAnsi"/>
              </w:rPr>
            </w:pPr>
            <w:proofErr w:type="gramStart"/>
            <w:r w:rsidRPr="00B21846">
              <w:rPr>
                <w:rFonts w:eastAsia="Tahoma" w:cstheme="minorHAnsi"/>
              </w:rPr>
              <w:t>% 03</w:t>
            </w:r>
            <w:proofErr w:type="gramEnd"/>
          </w:p>
        </w:tc>
      </w:tr>
    </w:tbl>
    <w:p w:rsidR="002A2254" w:rsidRDefault="002A2254"/>
    <w:p w:rsidR="003A532B" w:rsidRDefault="00AA4497">
      <w:r>
        <w:t xml:space="preserve">Kaynak: Kinetik </w:t>
      </w:r>
    </w:p>
    <w:p w:rsidR="00AA4497" w:rsidRDefault="00AA4497" w:rsidP="003A532B">
      <w:pPr>
        <w:spacing w:after="0" w:line="240" w:lineRule="auto"/>
        <w:jc w:val="center"/>
        <w:rPr>
          <w:b/>
          <w:bCs/>
          <w:sz w:val="36"/>
          <w:szCs w:val="36"/>
        </w:rPr>
      </w:pPr>
    </w:p>
    <w:sectPr w:rsidR="00AA4497" w:rsidSect="002A225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6207E"/>
    <w:multiLevelType w:val="multilevel"/>
    <w:tmpl w:val="8DC4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03D35"/>
    <w:multiLevelType w:val="hybridMultilevel"/>
    <w:tmpl w:val="A91C36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7A49B0"/>
    <w:multiLevelType w:val="multilevel"/>
    <w:tmpl w:val="3250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CD5E14"/>
    <w:multiLevelType w:val="multilevel"/>
    <w:tmpl w:val="BD86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0F4463"/>
    <w:multiLevelType w:val="multilevel"/>
    <w:tmpl w:val="B7D6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0633085">
    <w:abstractNumId w:val="0"/>
  </w:num>
  <w:num w:numId="2" w16cid:durableId="144398706">
    <w:abstractNumId w:val="3"/>
  </w:num>
  <w:num w:numId="3" w16cid:durableId="1269654888">
    <w:abstractNumId w:val="2"/>
  </w:num>
  <w:num w:numId="4" w16cid:durableId="289361719">
    <w:abstractNumId w:val="4"/>
  </w:num>
  <w:num w:numId="5" w16cid:durableId="1634211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31"/>
    <w:rsid w:val="00037B90"/>
    <w:rsid w:val="00192EBC"/>
    <w:rsid w:val="001A71E0"/>
    <w:rsid w:val="002A2254"/>
    <w:rsid w:val="002C1FF2"/>
    <w:rsid w:val="003A532B"/>
    <w:rsid w:val="005569C9"/>
    <w:rsid w:val="005B12CD"/>
    <w:rsid w:val="005B6C11"/>
    <w:rsid w:val="00670331"/>
    <w:rsid w:val="007E5146"/>
    <w:rsid w:val="00AA4497"/>
    <w:rsid w:val="00AC1B13"/>
    <w:rsid w:val="00BB2C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E6D3"/>
  <w15:chartTrackingRefBased/>
  <w15:docId w15:val="{5183FE53-5204-4FB1-B836-202EDDC9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3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2254"/>
    <w:pPr>
      <w:ind w:left="720"/>
      <w:contextualSpacing/>
    </w:pPr>
  </w:style>
  <w:style w:type="table" w:customStyle="1" w:styleId="TableGrid">
    <w:name w:val="TableGrid"/>
    <w:rsid w:val="002A2254"/>
    <w:pPr>
      <w:spacing w:after="0" w:line="240" w:lineRule="auto"/>
    </w:pPr>
    <w:rPr>
      <w:rFonts w:eastAsiaTheme="minorEastAsia"/>
      <w:lang w:eastAsia="tr-TR"/>
    </w:rPr>
    <w:tblPr>
      <w:tblCellMar>
        <w:top w:w="0" w:type="dxa"/>
        <w:left w:w="0" w:type="dxa"/>
        <w:bottom w:w="0" w:type="dxa"/>
        <w:right w:w="0" w:type="dxa"/>
      </w:tblCellMar>
    </w:tblPr>
  </w:style>
  <w:style w:type="table" w:styleId="TabloKlavuzu">
    <w:name w:val="Table Grid"/>
    <w:basedOn w:val="NormalTablo"/>
    <w:uiPriority w:val="39"/>
    <w:rsid w:val="00556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A4497"/>
    <w:rPr>
      <w:color w:val="0563C1"/>
      <w:u w:val="single"/>
    </w:rPr>
  </w:style>
  <w:style w:type="character" w:styleId="zmlenmeyenBahsetme">
    <w:name w:val="Unresolved Mention"/>
    <w:basedOn w:val="VarsaylanParagrafYazTipi"/>
    <w:uiPriority w:val="99"/>
    <w:semiHidden/>
    <w:unhideWhenUsed/>
    <w:rsid w:val="00AA4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326669">
      <w:bodyDiv w:val="1"/>
      <w:marLeft w:val="0"/>
      <w:marRight w:val="0"/>
      <w:marTop w:val="0"/>
      <w:marBottom w:val="0"/>
      <w:divBdr>
        <w:top w:val="none" w:sz="0" w:space="0" w:color="auto"/>
        <w:left w:val="none" w:sz="0" w:space="0" w:color="auto"/>
        <w:bottom w:val="none" w:sz="0" w:space="0" w:color="auto"/>
        <w:right w:val="none" w:sz="0" w:space="0" w:color="auto"/>
      </w:divBdr>
    </w:div>
    <w:div w:id="1791850326">
      <w:bodyDiv w:val="1"/>
      <w:marLeft w:val="0"/>
      <w:marRight w:val="0"/>
      <w:marTop w:val="0"/>
      <w:marBottom w:val="0"/>
      <w:divBdr>
        <w:top w:val="none" w:sz="0" w:space="0" w:color="auto"/>
        <w:left w:val="none" w:sz="0" w:space="0" w:color="auto"/>
        <w:bottom w:val="none" w:sz="0" w:space="0" w:color="auto"/>
        <w:right w:val="none" w:sz="0" w:space="0" w:color="auto"/>
      </w:divBdr>
    </w:div>
    <w:div w:id="198096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ordorintelligence.com/industry-reports/seeds-indust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A7A80-E63B-465B-9287-95BDA25A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1442</Words>
  <Characters>8225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GÜMÜŞ - TSÜAB</dc:creator>
  <cp:keywords/>
  <dc:description/>
  <cp:lastModifiedBy>ALİ GÜMÜŞ - TSÜAB</cp:lastModifiedBy>
  <cp:revision>2</cp:revision>
  <dcterms:created xsi:type="dcterms:W3CDTF">2025-02-21T07:00:00Z</dcterms:created>
  <dcterms:modified xsi:type="dcterms:W3CDTF">2025-02-21T07:00:00Z</dcterms:modified>
</cp:coreProperties>
</file>